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9E852" w14:textId="77777777" w:rsidR="00DF4955" w:rsidRPr="008A5E19" w:rsidRDefault="0075087B" w:rsidP="00047580">
      <w:pPr>
        <w:widowControl w:val="0"/>
        <w:spacing w:after="0" w:line="276" w:lineRule="auto"/>
        <w:jc w:val="center"/>
        <w:outlineLvl w:val="0"/>
        <w:rPr>
          <w:rFonts w:ascii="Verdana" w:eastAsia="Times New Roman" w:hAnsi="Verdana"/>
          <w:b/>
          <w:bCs/>
          <w:szCs w:val="20"/>
        </w:rPr>
      </w:pPr>
      <w:r w:rsidRPr="008A5E19">
        <w:rPr>
          <w:rFonts w:ascii="Verdana" w:eastAsia="Verdana" w:hAnsi="Verdana" w:cs="Verdana"/>
          <w:b/>
          <w:bCs/>
          <w:szCs w:val="20"/>
          <w:bdr w:val="nil"/>
        </w:rPr>
        <w:t>INDEPENDENT AUDITOR’S REPORT</w:t>
      </w:r>
    </w:p>
    <w:p w14:paraId="2EC258D3" w14:textId="77777777" w:rsidR="00DF4955" w:rsidRPr="008A5E19" w:rsidRDefault="00E01A61" w:rsidP="00047580">
      <w:pPr>
        <w:widowControl w:val="0"/>
        <w:spacing w:after="0" w:line="276" w:lineRule="auto"/>
        <w:outlineLvl w:val="1"/>
        <w:rPr>
          <w:rFonts w:ascii="Verdana" w:eastAsia="Times New Roman" w:hAnsi="Verdana"/>
          <w:b/>
          <w:bCs/>
          <w:sz w:val="18"/>
          <w:szCs w:val="18"/>
        </w:rPr>
      </w:pPr>
    </w:p>
    <w:p w14:paraId="70D6519E" w14:textId="77777777" w:rsidR="00047580" w:rsidRPr="008A5E19" w:rsidRDefault="00047580" w:rsidP="00047580">
      <w:pPr>
        <w:widowControl w:val="0"/>
        <w:spacing w:after="0" w:line="276" w:lineRule="auto"/>
        <w:outlineLvl w:val="1"/>
        <w:rPr>
          <w:rFonts w:ascii="Verdana" w:eastAsia="Times New Roman" w:hAnsi="Verdana"/>
          <w:b/>
          <w:bCs/>
          <w:sz w:val="18"/>
          <w:szCs w:val="18"/>
        </w:rPr>
      </w:pPr>
    </w:p>
    <w:p w14:paraId="690618BA" w14:textId="01C06915" w:rsidR="00DF4955" w:rsidRPr="008A5E19" w:rsidRDefault="0075087B" w:rsidP="00047580">
      <w:pPr>
        <w:widowControl w:val="0"/>
        <w:spacing w:after="0" w:line="276" w:lineRule="auto"/>
        <w:jc w:val="both"/>
        <w:outlineLvl w:val="1"/>
        <w:rPr>
          <w:rFonts w:ascii="Verdana" w:eastAsia="Times New Roman" w:hAnsi="Verdana"/>
          <w:b/>
          <w:bCs/>
          <w:sz w:val="18"/>
          <w:szCs w:val="18"/>
        </w:rPr>
      </w:pPr>
      <w:r w:rsidRPr="008A5E19">
        <w:rPr>
          <w:rFonts w:ascii="Verdana" w:eastAsia="Verdana" w:hAnsi="Verdana" w:cs="Verdana"/>
          <w:b/>
          <w:bCs/>
          <w:sz w:val="18"/>
          <w:szCs w:val="18"/>
          <w:bdr w:val="nil"/>
        </w:rPr>
        <w:t>To the General Meeting</w:t>
      </w:r>
      <w:r w:rsidR="00E47FB2" w:rsidRPr="008A5E19">
        <w:rPr>
          <w:rFonts w:ascii="Verdana" w:eastAsia="Verdana" w:hAnsi="Verdana" w:cs="Verdana"/>
          <w:b/>
          <w:bCs/>
          <w:sz w:val="18"/>
          <w:szCs w:val="18"/>
          <w:bdr w:val="nil"/>
        </w:rPr>
        <w:t xml:space="preserve"> </w:t>
      </w:r>
      <w:r w:rsidRPr="008A5E19">
        <w:rPr>
          <w:rFonts w:ascii="Verdana" w:eastAsia="Verdana" w:hAnsi="Verdana" w:cs="Verdana"/>
          <w:b/>
          <w:bCs/>
          <w:sz w:val="18"/>
          <w:szCs w:val="18"/>
          <w:bdr w:val="nil"/>
        </w:rPr>
        <w:t>and the Supervisory Board of</w:t>
      </w:r>
      <w:r w:rsidR="00596A3E" w:rsidRPr="008A5E19">
        <w:rPr>
          <w:rFonts w:ascii="Verdana" w:eastAsia="Verdana" w:hAnsi="Verdana" w:cs="Verdana"/>
          <w:b/>
          <w:bCs/>
          <w:sz w:val="18"/>
          <w:szCs w:val="18"/>
          <w:bdr w:val="nil"/>
        </w:rPr>
        <w:t xml:space="preserve"> </w:t>
      </w:r>
      <w:proofErr w:type="spellStart"/>
      <w:r w:rsidR="00E47FB2" w:rsidRPr="008A5E19">
        <w:rPr>
          <w:rFonts w:ascii="Verdana" w:eastAsia="Verdana" w:hAnsi="Verdana" w:cs="Verdana"/>
          <w:b/>
          <w:bCs/>
          <w:sz w:val="18"/>
          <w:szCs w:val="18"/>
          <w:bdr w:val="nil"/>
        </w:rPr>
        <w:t>Zespół</w:t>
      </w:r>
      <w:proofErr w:type="spellEnd"/>
      <w:r w:rsidR="00E47FB2" w:rsidRPr="008A5E19">
        <w:rPr>
          <w:rFonts w:ascii="Verdana" w:eastAsia="Verdana" w:hAnsi="Verdana" w:cs="Verdana"/>
          <w:b/>
          <w:bCs/>
          <w:sz w:val="18"/>
          <w:szCs w:val="18"/>
          <w:bdr w:val="nil"/>
        </w:rPr>
        <w:t xml:space="preserve"> </w:t>
      </w:r>
      <w:proofErr w:type="spellStart"/>
      <w:r w:rsidR="00E47FB2" w:rsidRPr="008A5E19">
        <w:rPr>
          <w:rFonts w:ascii="Verdana" w:eastAsia="Verdana" w:hAnsi="Verdana" w:cs="Verdana"/>
          <w:b/>
          <w:bCs/>
          <w:sz w:val="18"/>
          <w:szCs w:val="18"/>
          <w:bdr w:val="nil"/>
        </w:rPr>
        <w:t>Elektrociepłowni</w:t>
      </w:r>
      <w:proofErr w:type="spellEnd"/>
      <w:r w:rsidR="00E47FB2" w:rsidRPr="008A5E19">
        <w:rPr>
          <w:rFonts w:ascii="Verdana" w:eastAsia="Verdana" w:hAnsi="Verdana" w:cs="Verdana"/>
          <w:b/>
          <w:bCs/>
          <w:sz w:val="18"/>
          <w:szCs w:val="18"/>
          <w:bdr w:val="nil"/>
        </w:rPr>
        <w:t xml:space="preserve"> </w:t>
      </w:r>
      <w:proofErr w:type="spellStart"/>
      <w:r w:rsidR="00E47FB2" w:rsidRPr="008A5E19">
        <w:rPr>
          <w:rFonts w:ascii="Verdana" w:eastAsia="Verdana" w:hAnsi="Verdana" w:cs="Verdana"/>
          <w:b/>
          <w:bCs/>
          <w:sz w:val="18"/>
          <w:szCs w:val="18"/>
          <w:bdr w:val="nil"/>
        </w:rPr>
        <w:t>Wrocławskich</w:t>
      </w:r>
      <w:proofErr w:type="spellEnd"/>
      <w:r w:rsidR="00E47FB2" w:rsidRPr="008A5E19">
        <w:rPr>
          <w:rFonts w:ascii="Verdana" w:eastAsia="Verdana" w:hAnsi="Verdana" w:cs="Verdana"/>
          <w:b/>
          <w:bCs/>
          <w:sz w:val="18"/>
          <w:szCs w:val="18"/>
          <w:bdr w:val="nil"/>
        </w:rPr>
        <w:t xml:space="preserve"> K</w:t>
      </w:r>
      <w:r w:rsidR="004460C1" w:rsidRPr="008A5E19">
        <w:rPr>
          <w:rFonts w:ascii="Verdana" w:eastAsia="Verdana" w:hAnsi="Verdana" w:cs="Verdana"/>
          <w:b/>
          <w:bCs/>
          <w:sz w:val="18"/>
          <w:szCs w:val="18"/>
          <w:bdr w:val="nil"/>
        </w:rPr>
        <w:t>OGENERACJA</w:t>
      </w:r>
      <w:r w:rsidR="00E47FB2" w:rsidRPr="008A5E19">
        <w:rPr>
          <w:rFonts w:ascii="Verdana" w:eastAsia="Verdana" w:hAnsi="Verdana" w:cs="Verdana"/>
          <w:b/>
          <w:bCs/>
          <w:sz w:val="18"/>
          <w:szCs w:val="18"/>
          <w:bdr w:val="nil"/>
        </w:rPr>
        <w:t xml:space="preserve"> S.A. </w:t>
      </w:r>
    </w:p>
    <w:p w14:paraId="29EF7B00" w14:textId="77777777" w:rsidR="00D46247" w:rsidRPr="008A5E19" w:rsidRDefault="00E01A61" w:rsidP="00047580">
      <w:pPr>
        <w:widowControl w:val="0"/>
        <w:spacing w:after="0" w:line="276" w:lineRule="auto"/>
        <w:outlineLvl w:val="1"/>
        <w:rPr>
          <w:rFonts w:ascii="Verdana" w:eastAsia="Times New Roman" w:hAnsi="Verdana"/>
          <w:b/>
          <w:bCs/>
          <w:sz w:val="18"/>
          <w:szCs w:val="18"/>
        </w:rPr>
      </w:pPr>
    </w:p>
    <w:p w14:paraId="634E8A43" w14:textId="77777777" w:rsidR="00D46247" w:rsidRPr="008A5E19" w:rsidRDefault="00E01A61" w:rsidP="00047580">
      <w:pPr>
        <w:widowControl w:val="0"/>
        <w:spacing w:after="0" w:line="276" w:lineRule="auto"/>
        <w:outlineLvl w:val="1"/>
        <w:rPr>
          <w:rFonts w:ascii="Verdana" w:eastAsia="Times New Roman" w:hAnsi="Verdana"/>
          <w:b/>
          <w:bCs/>
          <w:sz w:val="18"/>
          <w:szCs w:val="18"/>
        </w:rPr>
      </w:pPr>
    </w:p>
    <w:p w14:paraId="571B0F52" w14:textId="77777777" w:rsidR="00DF4955" w:rsidRPr="008A5E19" w:rsidRDefault="0075087B" w:rsidP="00047580">
      <w:pPr>
        <w:widowControl w:val="0"/>
        <w:spacing w:after="0" w:line="276" w:lineRule="auto"/>
        <w:outlineLvl w:val="1"/>
        <w:rPr>
          <w:rFonts w:ascii="Verdana" w:eastAsia="Verdana" w:hAnsi="Verdana" w:cs="Verdana"/>
          <w:b/>
          <w:bCs/>
          <w:szCs w:val="20"/>
          <w:bdr w:val="nil"/>
        </w:rPr>
      </w:pPr>
      <w:r w:rsidRPr="008A5E19">
        <w:rPr>
          <w:rFonts w:ascii="Verdana" w:eastAsia="Verdana" w:hAnsi="Verdana" w:cs="Verdana"/>
          <w:b/>
          <w:bCs/>
          <w:szCs w:val="20"/>
          <w:bdr w:val="nil"/>
        </w:rPr>
        <w:t>Report on the Audit of the Annual Consolidated Financial Statements</w:t>
      </w:r>
    </w:p>
    <w:p w14:paraId="4427949B" w14:textId="77777777" w:rsidR="00047580" w:rsidRPr="008A5E19" w:rsidRDefault="00047580" w:rsidP="00047580">
      <w:pPr>
        <w:widowControl w:val="0"/>
        <w:spacing w:after="0" w:line="276" w:lineRule="auto"/>
        <w:outlineLvl w:val="1"/>
        <w:rPr>
          <w:rFonts w:ascii="Verdana" w:eastAsia="Times New Roman" w:hAnsi="Verdana"/>
          <w:b/>
          <w:bCs/>
          <w:szCs w:val="20"/>
        </w:rPr>
      </w:pPr>
    </w:p>
    <w:p w14:paraId="3D7CD3A7" w14:textId="4D8C0632" w:rsidR="00DF4955" w:rsidRPr="008A5E19" w:rsidRDefault="00450AD2" w:rsidP="00047580">
      <w:pPr>
        <w:widowControl w:val="0"/>
        <w:spacing w:after="120" w:line="276" w:lineRule="auto"/>
        <w:jc w:val="both"/>
        <w:outlineLvl w:val="3"/>
        <w:rPr>
          <w:rFonts w:ascii="Verdana" w:eastAsia="Times New Roman" w:hAnsi="Verdana"/>
          <w:b/>
          <w:bCs/>
          <w:i/>
          <w:iCs/>
          <w:sz w:val="18"/>
          <w:szCs w:val="18"/>
        </w:rPr>
      </w:pPr>
      <w:r w:rsidRPr="008A5E19">
        <w:rPr>
          <w:rFonts w:ascii="Verdana" w:eastAsia="Verdana" w:hAnsi="Verdana" w:cs="Verdana"/>
          <w:b/>
          <w:bCs/>
          <w:iCs/>
          <w:sz w:val="18"/>
          <w:szCs w:val="18"/>
          <w:bdr w:val="nil"/>
        </w:rPr>
        <w:t>Opinion</w:t>
      </w:r>
      <w:bookmarkStart w:id="0" w:name="_GoBack"/>
      <w:bookmarkEnd w:id="0"/>
    </w:p>
    <w:p w14:paraId="78D0833C" w14:textId="7B5B4581" w:rsidR="009D0CB7" w:rsidRPr="008A5E19" w:rsidRDefault="0075087B" w:rsidP="00047580">
      <w:pPr>
        <w:widowControl w:val="0"/>
        <w:spacing w:after="0" w:line="276" w:lineRule="auto"/>
        <w:jc w:val="both"/>
        <w:outlineLvl w:val="3"/>
        <w:rPr>
          <w:rFonts w:ascii="Verdana" w:eastAsia="Verdana" w:hAnsi="Verdana" w:cs="Verdana"/>
          <w:bCs/>
          <w:iCs/>
          <w:sz w:val="18"/>
          <w:szCs w:val="18"/>
          <w:bdr w:val="nil"/>
        </w:rPr>
      </w:pPr>
      <w:proofErr w:type="gramStart"/>
      <w:r w:rsidRPr="008A5E19">
        <w:rPr>
          <w:rFonts w:ascii="Verdana" w:eastAsia="Verdana" w:hAnsi="Verdana" w:cs="Verdana"/>
          <w:bCs/>
          <w:iCs/>
          <w:sz w:val="18"/>
          <w:szCs w:val="18"/>
          <w:bdr w:val="nil"/>
        </w:rPr>
        <w:t xml:space="preserve">We have audited the annual consolidated financial statements of the </w:t>
      </w:r>
      <w:r w:rsidR="00156794" w:rsidRPr="008A5E19">
        <w:rPr>
          <w:rFonts w:ascii="Verdana" w:eastAsia="Verdana" w:hAnsi="Verdana" w:cs="Verdana"/>
          <w:bCs/>
          <w:iCs/>
          <w:sz w:val="18"/>
          <w:szCs w:val="18"/>
          <w:bdr w:val="nil"/>
        </w:rPr>
        <w:t>group (the “Group”) with </w:t>
      </w:r>
      <w:proofErr w:type="spellStart"/>
      <w:r w:rsidR="00E47FB2" w:rsidRPr="008A5E19">
        <w:rPr>
          <w:rFonts w:ascii="Verdana" w:eastAsia="Verdana" w:hAnsi="Verdana" w:cs="Verdana"/>
          <w:b/>
          <w:bCs/>
          <w:iCs/>
          <w:sz w:val="18"/>
          <w:szCs w:val="18"/>
          <w:bdr w:val="nil"/>
        </w:rPr>
        <w:t>Zespół</w:t>
      </w:r>
      <w:proofErr w:type="spellEnd"/>
      <w:r w:rsidR="00E47FB2" w:rsidRPr="008A5E19">
        <w:rPr>
          <w:rFonts w:ascii="Verdana" w:eastAsia="Verdana" w:hAnsi="Verdana" w:cs="Verdana"/>
          <w:b/>
          <w:bCs/>
          <w:iCs/>
          <w:sz w:val="18"/>
          <w:szCs w:val="18"/>
          <w:bdr w:val="nil"/>
        </w:rPr>
        <w:t xml:space="preserve"> </w:t>
      </w:r>
      <w:proofErr w:type="spellStart"/>
      <w:r w:rsidR="00E47FB2" w:rsidRPr="008A5E19">
        <w:rPr>
          <w:rFonts w:ascii="Verdana" w:eastAsia="Verdana" w:hAnsi="Verdana" w:cs="Verdana"/>
          <w:b/>
          <w:bCs/>
          <w:iCs/>
          <w:sz w:val="18"/>
          <w:szCs w:val="18"/>
          <w:bdr w:val="nil"/>
        </w:rPr>
        <w:t>Elektrociepłowni</w:t>
      </w:r>
      <w:proofErr w:type="spellEnd"/>
      <w:r w:rsidR="00E47FB2" w:rsidRPr="008A5E19">
        <w:rPr>
          <w:rFonts w:ascii="Verdana" w:eastAsia="Verdana" w:hAnsi="Verdana" w:cs="Verdana"/>
          <w:b/>
          <w:bCs/>
          <w:iCs/>
          <w:sz w:val="18"/>
          <w:szCs w:val="18"/>
          <w:bdr w:val="nil"/>
        </w:rPr>
        <w:t xml:space="preserve"> </w:t>
      </w:r>
      <w:proofErr w:type="spellStart"/>
      <w:r w:rsidR="00E47FB2" w:rsidRPr="008A5E19">
        <w:rPr>
          <w:rFonts w:ascii="Verdana" w:eastAsia="Verdana" w:hAnsi="Verdana" w:cs="Verdana"/>
          <w:b/>
          <w:bCs/>
          <w:iCs/>
          <w:sz w:val="18"/>
          <w:szCs w:val="18"/>
          <w:bdr w:val="nil"/>
        </w:rPr>
        <w:t>Wrocławskich</w:t>
      </w:r>
      <w:proofErr w:type="spellEnd"/>
      <w:r w:rsidR="00E47FB2" w:rsidRPr="008A5E19">
        <w:rPr>
          <w:rFonts w:ascii="Verdana" w:eastAsia="Verdana" w:hAnsi="Verdana" w:cs="Verdana"/>
          <w:b/>
          <w:bCs/>
          <w:iCs/>
          <w:sz w:val="18"/>
          <w:szCs w:val="18"/>
          <w:bdr w:val="nil"/>
        </w:rPr>
        <w:t xml:space="preserve"> K</w:t>
      </w:r>
      <w:r w:rsidR="004460C1" w:rsidRPr="008A5E19">
        <w:rPr>
          <w:rFonts w:ascii="Verdana" w:eastAsia="Verdana" w:hAnsi="Verdana" w:cs="Verdana"/>
          <w:b/>
          <w:bCs/>
          <w:iCs/>
          <w:sz w:val="18"/>
          <w:szCs w:val="18"/>
          <w:bdr w:val="nil"/>
        </w:rPr>
        <w:t>OGENERACJA</w:t>
      </w:r>
      <w:r w:rsidR="00E47FB2" w:rsidRPr="008A5E19">
        <w:rPr>
          <w:rFonts w:ascii="Verdana" w:eastAsia="Verdana" w:hAnsi="Verdana" w:cs="Verdana"/>
          <w:b/>
          <w:bCs/>
          <w:iCs/>
          <w:sz w:val="18"/>
          <w:szCs w:val="18"/>
          <w:bdr w:val="nil"/>
        </w:rPr>
        <w:t xml:space="preserve"> S.A.</w:t>
      </w:r>
      <w:r w:rsidR="00E47FB2" w:rsidRPr="008A5E19">
        <w:rPr>
          <w:rFonts w:ascii="Verdana" w:eastAsia="Verdana" w:hAnsi="Verdana" w:cs="Verdana"/>
          <w:bCs/>
          <w:iCs/>
          <w:sz w:val="18"/>
          <w:szCs w:val="18"/>
          <w:bdr w:val="nil"/>
        </w:rPr>
        <w:t xml:space="preserve"> </w:t>
      </w:r>
      <w:r w:rsidRPr="008A5E19">
        <w:rPr>
          <w:rFonts w:ascii="Verdana" w:eastAsia="Verdana" w:hAnsi="Verdana" w:cs="Verdana"/>
          <w:bCs/>
          <w:iCs/>
          <w:sz w:val="18"/>
          <w:szCs w:val="18"/>
          <w:bdr w:val="nil"/>
        </w:rPr>
        <w:t>as the parent (the “Parent”), which compris</w:t>
      </w:r>
      <w:r w:rsidR="00156794" w:rsidRPr="008A5E19">
        <w:rPr>
          <w:rFonts w:ascii="Verdana" w:eastAsia="Verdana" w:hAnsi="Verdana" w:cs="Verdana"/>
          <w:bCs/>
          <w:iCs/>
          <w:sz w:val="18"/>
          <w:szCs w:val="18"/>
          <w:bdr w:val="nil"/>
        </w:rPr>
        <w:t>e the consolidated statement of </w:t>
      </w:r>
      <w:r w:rsidRPr="008A5E19">
        <w:rPr>
          <w:rFonts w:ascii="Verdana" w:eastAsia="Verdana" w:hAnsi="Verdana" w:cs="Verdana"/>
          <w:bCs/>
          <w:iCs/>
          <w:sz w:val="18"/>
          <w:szCs w:val="18"/>
          <w:bdr w:val="nil"/>
        </w:rPr>
        <w:t>financial position as at December 31, 201</w:t>
      </w:r>
      <w:r w:rsidR="00E47FB2" w:rsidRPr="008A5E19">
        <w:rPr>
          <w:rFonts w:ascii="Verdana" w:eastAsia="Verdana" w:hAnsi="Verdana" w:cs="Verdana"/>
          <w:bCs/>
          <w:iCs/>
          <w:sz w:val="18"/>
          <w:szCs w:val="18"/>
          <w:bdr w:val="nil"/>
        </w:rPr>
        <w:t xml:space="preserve">9, </w:t>
      </w:r>
      <w:r w:rsidRPr="008A5E19">
        <w:rPr>
          <w:rFonts w:ascii="Verdana" w:eastAsia="Verdana" w:hAnsi="Verdana" w:cs="Verdana"/>
          <w:bCs/>
          <w:iCs/>
          <w:sz w:val="18"/>
          <w:szCs w:val="18"/>
          <w:bdr w:val="nil"/>
        </w:rPr>
        <w:t>and the consolidated statement of comprehensive income, consolidated statement of changes in equity and consolidated statement of cash flows for the ye</w:t>
      </w:r>
      <w:r w:rsidR="00156794" w:rsidRPr="008A5E19">
        <w:rPr>
          <w:rFonts w:ascii="Verdana" w:eastAsia="Verdana" w:hAnsi="Verdana" w:cs="Verdana"/>
          <w:bCs/>
          <w:iCs/>
          <w:sz w:val="18"/>
          <w:szCs w:val="18"/>
          <w:bdr w:val="nil"/>
        </w:rPr>
        <w:t>ar then ended, and notes to the </w:t>
      </w:r>
      <w:r w:rsidRPr="008A5E19">
        <w:rPr>
          <w:rFonts w:ascii="Verdana" w:eastAsia="Verdana" w:hAnsi="Verdana" w:cs="Verdana"/>
          <w:bCs/>
          <w:iCs/>
          <w:sz w:val="18"/>
          <w:szCs w:val="18"/>
          <w:bdr w:val="nil"/>
        </w:rPr>
        <w:t>consolidated financial statements, including a summary of sign</w:t>
      </w:r>
      <w:r w:rsidR="00156794" w:rsidRPr="008A5E19">
        <w:rPr>
          <w:rFonts w:ascii="Verdana" w:eastAsia="Verdana" w:hAnsi="Verdana" w:cs="Verdana"/>
          <w:bCs/>
          <w:iCs/>
          <w:sz w:val="18"/>
          <w:szCs w:val="18"/>
          <w:bdr w:val="nil"/>
        </w:rPr>
        <w:t>ificant accounting policies and </w:t>
      </w:r>
      <w:r w:rsidRPr="008A5E19">
        <w:rPr>
          <w:rFonts w:ascii="Verdana" w:eastAsia="Verdana" w:hAnsi="Verdana" w:cs="Verdana"/>
          <w:bCs/>
          <w:iCs/>
          <w:sz w:val="18"/>
          <w:szCs w:val="18"/>
          <w:bdr w:val="nil"/>
        </w:rPr>
        <w:t>other explanatory information (the “consolidated financial statements”).</w:t>
      </w:r>
      <w:proofErr w:type="gramEnd"/>
      <w:r w:rsidRPr="008A5E19">
        <w:rPr>
          <w:rFonts w:ascii="Verdana" w:eastAsia="Verdana" w:hAnsi="Verdana" w:cs="Verdana"/>
          <w:bCs/>
          <w:iCs/>
          <w:sz w:val="18"/>
          <w:szCs w:val="18"/>
          <w:bdr w:val="nil"/>
        </w:rPr>
        <w:t xml:space="preserve"> </w:t>
      </w:r>
    </w:p>
    <w:p w14:paraId="72477F44" w14:textId="77777777" w:rsidR="00047580" w:rsidRPr="008A5E19" w:rsidRDefault="00047580" w:rsidP="00047580">
      <w:pPr>
        <w:widowControl w:val="0"/>
        <w:spacing w:after="0" w:line="276" w:lineRule="auto"/>
        <w:jc w:val="both"/>
        <w:outlineLvl w:val="3"/>
        <w:rPr>
          <w:rFonts w:ascii="Verdana" w:eastAsia="Times New Roman" w:hAnsi="Verdana"/>
          <w:bCs/>
          <w:iCs/>
          <w:sz w:val="18"/>
          <w:szCs w:val="18"/>
        </w:rPr>
      </w:pPr>
    </w:p>
    <w:p w14:paraId="3BEA5840" w14:textId="6421C6B5" w:rsidR="00DF4955" w:rsidRPr="008A5E19" w:rsidRDefault="0075087B" w:rsidP="00047580">
      <w:pPr>
        <w:widowControl w:val="0"/>
        <w:spacing w:after="120" w:line="276" w:lineRule="auto"/>
        <w:jc w:val="both"/>
        <w:outlineLvl w:val="3"/>
        <w:rPr>
          <w:rFonts w:ascii="Verdana" w:eastAsia="Times New Roman" w:hAnsi="Verdana"/>
          <w:bCs/>
          <w:i/>
          <w:iCs/>
          <w:sz w:val="18"/>
          <w:szCs w:val="18"/>
        </w:rPr>
      </w:pPr>
      <w:r w:rsidRPr="008A5E19">
        <w:rPr>
          <w:rFonts w:ascii="Verdana" w:eastAsia="Verdana" w:hAnsi="Verdana" w:cs="Verdana"/>
          <w:bCs/>
          <w:iCs/>
          <w:sz w:val="18"/>
          <w:szCs w:val="18"/>
          <w:bdr w:val="nil"/>
        </w:rPr>
        <w:t xml:space="preserve">In our opinion, </w:t>
      </w:r>
      <w:r w:rsidRPr="008A5E19">
        <w:rPr>
          <w:rFonts w:ascii="Verdana" w:eastAsia="Verdana" w:hAnsi="Verdana" w:cs="Verdana"/>
          <w:bCs/>
          <w:sz w:val="18"/>
          <w:szCs w:val="18"/>
          <w:bdr w:val="nil"/>
        </w:rPr>
        <w:t>the accompanying consolidated financial statements:</w:t>
      </w:r>
    </w:p>
    <w:p w14:paraId="28487587" w14:textId="17939116" w:rsidR="00DF4955" w:rsidRPr="008A5E19" w:rsidRDefault="0075087B" w:rsidP="00047580">
      <w:pPr>
        <w:pStyle w:val="ListParagraph"/>
        <w:widowControl w:val="0"/>
        <w:numPr>
          <w:ilvl w:val="0"/>
          <w:numId w:val="5"/>
        </w:numPr>
        <w:spacing w:after="120" w:line="276" w:lineRule="auto"/>
        <w:ind w:left="426" w:hanging="426"/>
        <w:contextualSpacing w:val="0"/>
        <w:jc w:val="both"/>
        <w:outlineLvl w:val="3"/>
        <w:rPr>
          <w:rFonts w:ascii="Verdana" w:eastAsia="Times New Roman" w:hAnsi="Verdana"/>
          <w:bCs/>
          <w:i/>
          <w:iCs/>
          <w:sz w:val="18"/>
          <w:szCs w:val="18"/>
        </w:rPr>
      </w:pPr>
      <w:r w:rsidRPr="008A5E19">
        <w:rPr>
          <w:rFonts w:ascii="Verdana" w:eastAsia="Verdana" w:hAnsi="Verdana" w:cs="Verdana"/>
          <w:bCs/>
          <w:iCs/>
          <w:sz w:val="18"/>
          <w:szCs w:val="18"/>
          <w:bdr w:val="nil"/>
        </w:rPr>
        <w:t>give a true and fair view of the economic and financial position of the Group as at December 31, 201</w:t>
      </w:r>
      <w:r w:rsidR="00E47FB2" w:rsidRPr="008A5E19">
        <w:rPr>
          <w:rFonts w:ascii="Verdana" w:eastAsia="Verdana" w:hAnsi="Verdana" w:cs="Verdana"/>
          <w:bCs/>
          <w:iCs/>
          <w:sz w:val="18"/>
          <w:szCs w:val="18"/>
          <w:bdr w:val="nil"/>
        </w:rPr>
        <w:t>9</w:t>
      </w:r>
      <w:r w:rsidRPr="008A5E19">
        <w:rPr>
          <w:rFonts w:ascii="Verdana" w:eastAsia="Verdana" w:hAnsi="Verdana" w:cs="Verdana"/>
          <w:bCs/>
          <w:iCs/>
          <w:sz w:val="18"/>
          <w:szCs w:val="18"/>
          <w:bdr w:val="nil"/>
        </w:rPr>
        <w:t>, and of its financial performance and its cash f</w:t>
      </w:r>
      <w:r w:rsidR="00156794" w:rsidRPr="008A5E19">
        <w:rPr>
          <w:rFonts w:ascii="Verdana" w:eastAsia="Verdana" w:hAnsi="Verdana" w:cs="Verdana"/>
          <w:bCs/>
          <w:iCs/>
          <w:sz w:val="18"/>
          <w:szCs w:val="18"/>
          <w:bdr w:val="nil"/>
        </w:rPr>
        <w:t>lows for the year then ended in </w:t>
      </w:r>
      <w:r w:rsidRPr="008A5E19">
        <w:rPr>
          <w:rFonts w:ascii="Verdana" w:eastAsia="Verdana" w:hAnsi="Verdana" w:cs="Verdana"/>
          <w:bCs/>
          <w:iCs/>
          <w:sz w:val="18"/>
          <w:szCs w:val="18"/>
          <w:bdr w:val="nil"/>
        </w:rPr>
        <w:t>accordance with the applicable International Financial Repo</w:t>
      </w:r>
      <w:r w:rsidR="00156794" w:rsidRPr="008A5E19">
        <w:rPr>
          <w:rFonts w:ascii="Verdana" w:eastAsia="Verdana" w:hAnsi="Verdana" w:cs="Verdana"/>
          <w:bCs/>
          <w:iCs/>
          <w:sz w:val="18"/>
          <w:szCs w:val="18"/>
          <w:bdr w:val="nil"/>
        </w:rPr>
        <w:t>rting Standards, as endorsed by </w:t>
      </w:r>
      <w:r w:rsidRPr="008A5E19">
        <w:rPr>
          <w:rFonts w:ascii="Verdana" w:eastAsia="Verdana" w:hAnsi="Verdana" w:cs="Verdana"/>
          <w:bCs/>
          <w:iCs/>
          <w:sz w:val="18"/>
          <w:szCs w:val="18"/>
          <w:bdr w:val="nil"/>
        </w:rPr>
        <w:t>the European Union, and the adopted accounting policies;</w:t>
      </w:r>
    </w:p>
    <w:p w14:paraId="7ED1938E" w14:textId="77777777" w:rsidR="00DF4955" w:rsidRPr="008A5E19" w:rsidRDefault="0075087B" w:rsidP="00047580">
      <w:pPr>
        <w:pStyle w:val="ListParagraph"/>
        <w:widowControl w:val="0"/>
        <w:numPr>
          <w:ilvl w:val="0"/>
          <w:numId w:val="5"/>
        </w:numPr>
        <w:spacing w:after="0" w:line="276" w:lineRule="auto"/>
        <w:ind w:left="426" w:hanging="426"/>
        <w:contextualSpacing w:val="0"/>
        <w:jc w:val="both"/>
        <w:outlineLvl w:val="3"/>
        <w:rPr>
          <w:rFonts w:ascii="Verdana" w:eastAsia="Times New Roman" w:hAnsi="Verdana"/>
          <w:bCs/>
          <w:i/>
          <w:iCs/>
          <w:sz w:val="18"/>
          <w:szCs w:val="18"/>
        </w:rPr>
      </w:pPr>
      <w:proofErr w:type="gramStart"/>
      <w:r w:rsidRPr="008A5E19">
        <w:rPr>
          <w:rFonts w:ascii="Verdana" w:eastAsia="Verdana" w:hAnsi="Verdana" w:cs="Verdana"/>
          <w:bCs/>
          <w:iCs/>
          <w:sz w:val="18"/>
          <w:szCs w:val="18"/>
          <w:bdr w:val="nil"/>
        </w:rPr>
        <w:t>comply</w:t>
      </w:r>
      <w:proofErr w:type="gramEnd"/>
      <w:r w:rsidRPr="008A5E19">
        <w:rPr>
          <w:rFonts w:ascii="Verdana" w:eastAsia="Verdana" w:hAnsi="Verdana" w:cs="Verdana"/>
          <w:bCs/>
          <w:iCs/>
          <w:sz w:val="18"/>
          <w:szCs w:val="18"/>
          <w:bdr w:val="nil"/>
        </w:rPr>
        <w:t>, as regards their form and content, with the appl</w:t>
      </w:r>
      <w:r w:rsidR="00156794" w:rsidRPr="008A5E19">
        <w:rPr>
          <w:rFonts w:ascii="Verdana" w:eastAsia="Verdana" w:hAnsi="Verdana" w:cs="Verdana"/>
          <w:bCs/>
          <w:iCs/>
          <w:sz w:val="18"/>
          <w:szCs w:val="18"/>
          <w:bdr w:val="nil"/>
        </w:rPr>
        <w:t>icable laws and the articles of </w:t>
      </w:r>
      <w:r w:rsidRPr="008A5E19">
        <w:rPr>
          <w:rFonts w:ascii="Verdana" w:eastAsia="Verdana" w:hAnsi="Verdana" w:cs="Verdana"/>
          <w:bCs/>
          <w:iCs/>
          <w:sz w:val="18"/>
          <w:szCs w:val="18"/>
          <w:bdr w:val="nil"/>
        </w:rPr>
        <w:t>association of the Parent.</w:t>
      </w:r>
    </w:p>
    <w:p w14:paraId="4916B4C8" w14:textId="77777777" w:rsidR="00047580" w:rsidRPr="008A5E19" w:rsidRDefault="00047580" w:rsidP="00047580">
      <w:pPr>
        <w:widowControl w:val="0"/>
        <w:spacing w:after="0" w:line="276" w:lineRule="auto"/>
        <w:jc w:val="both"/>
        <w:outlineLvl w:val="3"/>
        <w:rPr>
          <w:rFonts w:ascii="Verdana" w:eastAsia="Verdana" w:hAnsi="Verdana" w:cs="Verdana"/>
          <w:bCs/>
          <w:iCs/>
          <w:sz w:val="18"/>
          <w:szCs w:val="18"/>
          <w:bdr w:val="nil"/>
        </w:rPr>
      </w:pPr>
    </w:p>
    <w:p w14:paraId="072242CA" w14:textId="4104B38D" w:rsidR="0065443D" w:rsidRPr="008A5E19" w:rsidRDefault="0075087B" w:rsidP="00047580">
      <w:pPr>
        <w:widowControl w:val="0"/>
        <w:spacing w:after="0" w:line="276" w:lineRule="auto"/>
        <w:jc w:val="both"/>
        <w:outlineLvl w:val="3"/>
        <w:rPr>
          <w:rFonts w:ascii="Verdana" w:eastAsia="Verdana" w:hAnsi="Verdana" w:cs="Verdana"/>
          <w:bCs/>
          <w:iCs/>
          <w:sz w:val="18"/>
          <w:szCs w:val="18"/>
          <w:bdr w:val="nil"/>
        </w:rPr>
      </w:pPr>
      <w:r w:rsidRPr="008A5E19">
        <w:rPr>
          <w:rFonts w:ascii="Verdana" w:eastAsia="Verdana" w:hAnsi="Verdana" w:cs="Verdana"/>
          <w:bCs/>
          <w:iCs/>
          <w:sz w:val="18"/>
          <w:szCs w:val="18"/>
          <w:bdr w:val="nil"/>
        </w:rPr>
        <w:t>Our opinion is consistent with the Additional Report to the Audit Committee</w:t>
      </w:r>
      <w:r w:rsidR="00E47FB2" w:rsidRPr="008A5E19">
        <w:rPr>
          <w:rFonts w:ascii="Verdana" w:eastAsia="Verdana" w:hAnsi="Verdana" w:cs="Verdana"/>
          <w:bCs/>
          <w:iCs/>
          <w:sz w:val="18"/>
          <w:szCs w:val="18"/>
          <w:bdr w:val="nil"/>
        </w:rPr>
        <w:t xml:space="preserve">, </w:t>
      </w:r>
      <w:r w:rsidRPr="008A5E19">
        <w:rPr>
          <w:rFonts w:ascii="Verdana" w:eastAsia="Verdana" w:hAnsi="Verdana" w:cs="Verdana"/>
          <w:bCs/>
          <w:iCs/>
          <w:sz w:val="18"/>
          <w:szCs w:val="18"/>
          <w:bdr w:val="nil"/>
        </w:rPr>
        <w:t xml:space="preserve">which we issued on </w:t>
      </w:r>
      <w:r w:rsidR="004460C1" w:rsidRPr="008A5E19">
        <w:rPr>
          <w:rFonts w:ascii="Verdana" w:eastAsia="Verdana" w:hAnsi="Verdana" w:cs="Verdana"/>
          <w:bCs/>
          <w:iCs/>
          <w:sz w:val="18"/>
          <w:szCs w:val="18"/>
          <w:bdr w:val="nil"/>
        </w:rPr>
        <w:t>March 9, 2020</w:t>
      </w:r>
      <w:r w:rsidRPr="008A5E19">
        <w:rPr>
          <w:rFonts w:ascii="Verdana" w:eastAsia="Verdana" w:hAnsi="Verdana" w:cs="Verdana"/>
          <w:bCs/>
          <w:iCs/>
          <w:sz w:val="18"/>
          <w:szCs w:val="18"/>
          <w:bdr w:val="nil"/>
        </w:rPr>
        <w:t>.</w:t>
      </w:r>
    </w:p>
    <w:p w14:paraId="4868E299" w14:textId="77777777" w:rsidR="00047580" w:rsidRPr="008A5E19" w:rsidRDefault="00047580" w:rsidP="00047580">
      <w:pPr>
        <w:widowControl w:val="0"/>
        <w:spacing w:after="0" w:line="276" w:lineRule="auto"/>
        <w:jc w:val="both"/>
        <w:outlineLvl w:val="3"/>
        <w:rPr>
          <w:rFonts w:ascii="Verdana" w:eastAsia="Times New Roman" w:hAnsi="Verdana"/>
          <w:bCs/>
          <w:iCs/>
          <w:sz w:val="18"/>
          <w:szCs w:val="18"/>
        </w:rPr>
      </w:pPr>
    </w:p>
    <w:p w14:paraId="07B7A422" w14:textId="12D2473D" w:rsidR="00047580" w:rsidRPr="008A5E19" w:rsidRDefault="0075087B" w:rsidP="00316A6A">
      <w:pPr>
        <w:widowControl w:val="0"/>
        <w:spacing w:after="120" w:line="276" w:lineRule="auto"/>
        <w:jc w:val="both"/>
        <w:outlineLvl w:val="3"/>
        <w:rPr>
          <w:rFonts w:ascii="Verdana" w:hAnsi="Verdana"/>
          <w:sz w:val="18"/>
          <w:szCs w:val="18"/>
        </w:rPr>
      </w:pPr>
      <w:r w:rsidRPr="008A5E19">
        <w:rPr>
          <w:rFonts w:ascii="Verdana" w:eastAsia="Verdana" w:hAnsi="Verdana" w:cs="Verdana"/>
          <w:b/>
          <w:bCs/>
          <w:iCs/>
          <w:sz w:val="18"/>
          <w:szCs w:val="18"/>
          <w:bdr w:val="nil"/>
        </w:rPr>
        <w:t>Basis for Opinion</w:t>
      </w:r>
    </w:p>
    <w:p w14:paraId="2B205DF5" w14:textId="77777777" w:rsidR="00DF4955" w:rsidRPr="008A5E19" w:rsidRDefault="0075087B" w:rsidP="00047580">
      <w:pPr>
        <w:widowControl w:val="0"/>
        <w:spacing w:after="0" w:line="276" w:lineRule="auto"/>
        <w:jc w:val="both"/>
        <w:rPr>
          <w:rFonts w:ascii="Verdana" w:eastAsia="Verdana" w:hAnsi="Verdana" w:cs="Verdana"/>
          <w:sz w:val="18"/>
          <w:szCs w:val="18"/>
          <w:bdr w:val="nil"/>
        </w:rPr>
      </w:pPr>
      <w:proofErr w:type="gramStart"/>
      <w:r w:rsidRPr="008A5E19">
        <w:rPr>
          <w:rFonts w:ascii="Verdana" w:eastAsia="Verdana" w:hAnsi="Verdana" w:cs="Verdana"/>
          <w:sz w:val="18"/>
          <w:szCs w:val="18"/>
          <w:bdr w:val="nil"/>
        </w:rPr>
        <w:t xml:space="preserve">We conducted our audit in accordance with International Standards on Auditing (“ISAs”) in a version adopted by the National Council of Statutory Auditors as the Polish Standards on Auditing (“PSAs”) and in compliance with the Act on Statutory Auditors, Audit Firms and Public Oversight of 11 May 2017 (the “Act on Statutory Auditors”, </w:t>
      </w:r>
      <w:r w:rsidR="00A9762E" w:rsidRPr="008A5E19">
        <w:rPr>
          <w:rFonts w:ascii="Verdana" w:eastAsia="Verdana" w:hAnsi="Verdana" w:cs="Verdana"/>
          <w:sz w:val="18"/>
          <w:szCs w:val="18"/>
          <w:bdr w:val="nil"/>
        </w:rPr>
        <w:t>Journal of Laws of 2019, item 1421</w:t>
      </w:r>
      <w:r w:rsidRPr="008A5E19">
        <w:rPr>
          <w:rFonts w:ascii="Verdana" w:eastAsia="Verdana" w:hAnsi="Verdana" w:cs="Verdana"/>
          <w:sz w:val="18"/>
          <w:szCs w:val="18"/>
          <w:bdr w:val="nil"/>
        </w:rPr>
        <w:t xml:space="preserve">, as amended) as well as Regulation (EU) No 537/2014 of the European Parliament and of </w:t>
      </w:r>
      <w:r w:rsidR="00156794" w:rsidRPr="008A5E19">
        <w:rPr>
          <w:rFonts w:ascii="Verdana" w:eastAsia="Verdana" w:hAnsi="Verdana" w:cs="Verdana"/>
          <w:sz w:val="18"/>
          <w:szCs w:val="18"/>
          <w:bdr w:val="nil"/>
        </w:rPr>
        <w:t>the Council of 16 April 2014 on </w:t>
      </w:r>
      <w:r w:rsidRPr="008A5E19">
        <w:rPr>
          <w:rFonts w:ascii="Verdana" w:eastAsia="Verdana" w:hAnsi="Verdana" w:cs="Verdana"/>
          <w:sz w:val="18"/>
          <w:szCs w:val="18"/>
          <w:bdr w:val="nil"/>
        </w:rPr>
        <w:t>specific requirements regarding statutory audit of public-interest entities (“EU Regulation”, Official Journal of the European Union L158).</w:t>
      </w:r>
      <w:proofErr w:type="gramEnd"/>
      <w:r w:rsidRPr="008A5E19">
        <w:rPr>
          <w:rFonts w:ascii="Verdana" w:eastAsia="Verdana" w:hAnsi="Verdana" w:cs="Verdana"/>
          <w:sz w:val="18"/>
          <w:szCs w:val="18"/>
          <w:bdr w:val="nil"/>
        </w:rPr>
        <w:t xml:space="preserve"> Our responsibilities under those standards </w:t>
      </w:r>
      <w:proofErr w:type="gramStart"/>
      <w:r w:rsidRPr="008A5E19">
        <w:rPr>
          <w:rFonts w:ascii="Verdana" w:eastAsia="Verdana" w:hAnsi="Verdana" w:cs="Verdana"/>
          <w:sz w:val="18"/>
          <w:szCs w:val="18"/>
          <w:bdr w:val="nil"/>
        </w:rPr>
        <w:t>are further described</w:t>
      </w:r>
      <w:proofErr w:type="gramEnd"/>
      <w:r w:rsidRPr="008A5E19">
        <w:rPr>
          <w:rFonts w:ascii="Verdana" w:eastAsia="Verdana" w:hAnsi="Verdana" w:cs="Verdana"/>
          <w:sz w:val="18"/>
          <w:szCs w:val="18"/>
          <w:bdr w:val="nil"/>
        </w:rPr>
        <w:t xml:space="preserve"> in the </w:t>
      </w:r>
      <w:r w:rsidRPr="008A5E19">
        <w:rPr>
          <w:rFonts w:ascii="Verdana" w:eastAsia="Verdana" w:hAnsi="Verdana" w:cs="Verdana"/>
          <w:i/>
          <w:iCs/>
          <w:sz w:val="18"/>
          <w:szCs w:val="18"/>
          <w:bdr w:val="nil"/>
        </w:rPr>
        <w:t>Auditor’s Responsibilities for the Audit of the Consolidated Financial Statements</w:t>
      </w:r>
      <w:r w:rsidR="00156794" w:rsidRPr="008A5E19">
        <w:rPr>
          <w:rFonts w:ascii="Verdana" w:eastAsia="Verdana" w:hAnsi="Verdana" w:cs="Verdana"/>
          <w:sz w:val="18"/>
          <w:szCs w:val="18"/>
          <w:bdr w:val="nil"/>
        </w:rPr>
        <w:t xml:space="preserve"> section of our report.</w:t>
      </w:r>
    </w:p>
    <w:p w14:paraId="13C13CEC" w14:textId="77777777" w:rsidR="00047580" w:rsidRPr="008A5E19" w:rsidRDefault="00047580" w:rsidP="00047580">
      <w:pPr>
        <w:widowControl w:val="0"/>
        <w:spacing w:after="0" w:line="276" w:lineRule="auto"/>
        <w:jc w:val="both"/>
        <w:rPr>
          <w:rFonts w:ascii="Verdana" w:hAnsi="Verdana"/>
          <w:sz w:val="18"/>
          <w:szCs w:val="18"/>
        </w:rPr>
      </w:pPr>
    </w:p>
    <w:p w14:paraId="774AF70F" w14:textId="77777777" w:rsidR="00816940" w:rsidRPr="008A5E19" w:rsidRDefault="0075087B" w:rsidP="00047580">
      <w:pPr>
        <w:widowControl w:val="0"/>
        <w:spacing w:after="0" w:line="276" w:lineRule="auto"/>
        <w:jc w:val="both"/>
        <w:outlineLvl w:val="3"/>
        <w:rPr>
          <w:rFonts w:ascii="Verdana" w:eastAsia="Verdana" w:hAnsi="Verdana" w:cs="Verdana"/>
          <w:sz w:val="18"/>
          <w:szCs w:val="18"/>
          <w:bdr w:val="nil"/>
        </w:rPr>
      </w:pPr>
      <w:proofErr w:type="gramStart"/>
      <w:r w:rsidRPr="008A5E19">
        <w:rPr>
          <w:rFonts w:ascii="Verdana" w:eastAsia="Verdana" w:hAnsi="Verdana" w:cs="Verdana"/>
          <w:sz w:val="18"/>
          <w:szCs w:val="18"/>
          <w:bdr w:val="nil"/>
        </w:rPr>
        <w:t>We are independent of the Group in accordance with the International Federation of Accountants’ Code of Ethics for Professional Accountants (“IFAC Code”), adopted by resolution of the National Council of Statutory Auditors, together with the ethical requirements that are relevant to the audit of the financial statements in Poland, and we have fulfilled our other ethical responsi</w:t>
      </w:r>
      <w:r w:rsidR="00156794" w:rsidRPr="008A5E19">
        <w:rPr>
          <w:rFonts w:ascii="Verdana" w:eastAsia="Verdana" w:hAnsi="Verdana" w:cs="Verdana"/>
          <w:sz w:val="18"/>
          <w:szCs w:val="18"/>
          <w:bdr w:val="nil"/>
        </w:rPr>
        <w:t>bilities in </w:t>
      </w:r>
      <w:r w:rsidRPr="008A5E19">
        <w:rPr>
          <w:rFonts w:ascii="Verdana" w:eastAsia="Verdana" w:hAnsi="Verdana" w:cs="Verdana"/>
          <w:sz w:val="18"/>
          <w:szCs w:val="18"/>
          <w:bdr w:val="nil"/>
        </w:rPr>
        <w:t>accordance with these requirements and the IFAC Code.</w:t>
      </w:r>
      <w:proofErr w:type="gramEnd"/>
      <w:r w:rsidRPr="008A5E19">
        <w:rPr>
          <w:rFonts w:ascii="Verdana" w:eastAsia="Verdana" w:hAnsi="Verdana" w:cs="Verdana"/>
          <w:sz w:val="18"/>
          <w:szCs w:val="18"/>
          <w:bdr w:val="nil"/>
        </w:rPr>
        <w:t xml:space="preserve"> Throughout the audit, both the key statutory auditor and the audit firm remained independent of t</w:t>
      </w:r>
      <w:r w:rsidR="00156794" w:rsidRPr="008A5E19">
        <w:rPr>
          <w:rFonts w:ascii="Verdana" w:eastAsia="Verdana" w:hAnsi="Verdana" w:cs="Verdana"/>
          <w:sz w:val="18"/>
          <w:szCs w:val="18"/>
          <w:bdr w:val="nil"/>
        </w:rPr>
        <w:t xml:space="preserve">he Group in accordance </w:t>
      </w:r>
      <w:r w:rsidR="00156794" w:rsidRPr="008A5E19">
        <w:rPr>
          <w:rFonts w:ascii="Verdana" w:eastAsia="Verdana" w:hAnsi="Verdana" w:cs="Verdana"/>
          <w:sz w:val="18"/>
          <w:szCs w:val="18"/>
          <w:bdr w:val="nil"/>
        </w:rPr>
        <w:lastRenderedPageBreak/>
        <w:t>with the </w:t>
      </w:r>
      <w:r w:rsidRPr="008A5E19">
        <w:rPr>
          <w:rFonts w:ascii="Verdana" w:eastAsia="Verdana" w:hAnsi="Verdana" w:cs="Verdana"/>
          <w:sz w:val="18"/>
          <w:szCs w:val="18"/>
          <w:bdr w:val="nil"/>
        </w:rPr>
        <w:t>independence requirements set out in the Act on Statutory Auditors and in the EU Regulation.</w:t>
      </w:r>
    </w:p>
    <w:p w14:paraId="11F4E5AD" w14:textId="77777777" w:rsidR="00047580" w:rsidRPr="008A5E19" w:rsidRDefault="00047580" w:rsidP="00047580">
      <w:pPr>
        <w:widowControl w:val="0"/>
        <w:spacing w:after="0" w:line="276" w:lineRule="auto"/>
        <w:jc w:val="both"/>
        <w:outlineLvl w:val="3"/>
        <w:rPr>
          <w:rFonts w:ascii="Verdana" w:hAnsi="Verdana"/>
          <w:sz w:val="18"/>
          <w:szCs w:val="18"/>
        </w:rPr>
      </w:pPr>
    </w:p>
    <w:p w14:paraId="7B1BCE9F" w14:textId="790FC6E5" w:rsidR="00DF4955" w:rsidRPr="008A5E19" w:rsidRDefault="0075087B" w:rsidP="00047580">
      <w:pPr>
        <w:widowControl w:val="0"/>
        <w:spacing w:after="0" w:line="276" w:lineRule="auto"/>
        <w:jc w:val="both"/>
        <w:outlineLvl w:val="3"/>
        <w:rPr>
          <w:rFonts w:ascii="Verdana" w:eastAsia="Verdana" w:hAnsi="Verdana" w:cs="Verdana"/>
          <w:bCs/>
          <w:iCs/>
          <w:sz w:val="18"/>
          <w:szCs w:val="18"/>
          <w:bdr w:val="nil"/>
        </w:rPr>
      </w:pPr>
      <w:r w:rsidRPr="008A5E19">
        <w:rPr>
          <w:rFonts w:ascii="Verdana" w:eastAsia="Verdana" w:hAnsi="Verdana" w:cs="Verdana"/>
          <w:bCs/>
          <w:iCs/>
          <w:sz w:val="18"/>
          <w:szCs w:val="18"/>
          <w:bdr w:val="nil"/>
        </w:rPr>
        <w:t>We believe that the audit evidence we have obtained is sufficient and appropriate to provide a basis for our opinion.</w:t>
      </w:r>
    </w:p>
    <w:p w14:paraId="6D4E3D85" w14:textId="77777777" w:rsidR="00316A6A" w:rsidRPr="008A5E19" w:rsidRDefault="00316A6A" w:rsidP="00047580">
      <w:pPr>
        <w:widowControl w:val="0"/>
        <w:spacing w:after="0" w:line="276" w:lineRule="auto"/>
        <w:jc w:val="both"/>
        <w:outlineLvl w:val="3"/>
        <w:rPr>
          <w:rFonts w:ascii="Verdana" w:eastAsia="Verdana" w:hAnsi="Verdana" w:cs="Verdana"/>
          <w:bCs/>
          <w:iCs/>
          <w:sz w:val="18"/>
          <w:szCs w:val="18"/>
          <w:bdr w:val="nil"/>
        </w:rPr>
      </w:pPr>
    </w:p>
    <w:p w14:paraId="2A2278EB" w14:textId="2497C8C8" w:rsidR="00316A6A" w:rsidRPr="008A5E19" w:rsidRDefault="00316A6A" w:rsidP="000E5BB8">
      <w:pPr>
        <w:widowControl w:val="0"/>
        <w:tabs>
          <w:tab w:val="right" w:pos="0"/>
          <w:tab w:val="left" w:pos="576"/>
        </w:tabs>
        <w:spacing w:after="120" w:line="276" w:lineRule="auto"/>
        <w:jc w:val="both"/>
        <w:rPr>
          <w:rFonts w:ascii="Verdana" w:eastAsia="Verdana" w:hAnsi="Verdana" w:cs="Verdana"/>
          <w:b/>
          <w:bCs/>
          <w:iCs/>
          <w:sz w:val="18"/>
          <w:szCs w:val="18"/>
          <w:bdr w:val="nil"/>
        </w:rPr>
      </w:pPr>
      <w:r w:rsidRPr="008A5E19">
        <w:rPr>
          <w:rFonts w:ascii="Verdana" w:eastAsia="Verdana" w:hAnsi="Verdana" w:cs="Verdana"/>
          <w:b/>
          <w:bCs/>
          <w:iCs/>
          <w:sz w:val="18"/>
          <w:szCs w:val="18"/>
          <w:bdr w:val="nil"/>
        </w:rPr>
        <w:t>Emphasis of Matter</w:t>
      </w:r>
    </w:p>
    <w:p w14:paraId="6DFE77DF" w14:textId="094F12C5" w:rsidR="00316A6A" w:rsidRPr="008A5E19" w:rsidRDefault="000E5BB8" w:rsidP="00047580">
      <w:pPr>
        <w:widowControl w:val="0"/>
        <w:spacing w:after="0" w:line="276" w:lineRule="auto"/>
        <w:jc w:val="both"/>
        <w:outlineLvl w:val="3"/>
        <w:rPr>
          <w:rFonts w:ascii="Verdana" w:eastAsia="Verdana" w:hAnsi="Verdana" w:cs="Verdana"/>
          <w:bCs/>
          <w:iCs/>
          <w:sz w:val="18"/>
          <w:szCs w:val="18"/>
          <w:bdr w:val="nil"/>
        </w:rPr>
      </w:pPr>
      <w:r w:rsidRPr="008A5E19">
        <w:rPr>
          <w:rFonts w:ascii="Verdana" w:eastAsia="Verdana" w:hAnsi="Verdana" w:cs="Verdana"/>
          <w:bCs/>
          <w:iCs/>
          <w:sz w:val="18"/>
          <w:szCs w:val="18"/>
          <w:bdr w:val="nil"/>
        </w:rPr>
        <w:t xml:space="preserve">We draw attention to Note 42 of the condensed interim financial statements, which describes the effects of an error in </w:t>
      </w:r>
      <w:r w:rsidR="00BD5505" w:rsidRPr="008A5E19">
        <w:rPr>
          <w:rFonts w:ascii="Verdana" w:eastAsia="Verdana" w:hAnsi="Verdana" w:cs="Verdana"/>
          <w:bCs/>
          <w:iCs/>
          <w:sz w:val="18"/>
          <w:szCs w:val="18"/>
          <w:bdr w:val="nil"/>
        </w:rPr>
        <w:t xml:space="preserve">the </w:t>
      </w:r>
      <w:r w:rsidRPr="008A5E19">
        <w:rPr>
          <w:rFonts w:ascii="Verdana" w:eastAsia="Verdana" w:hAnsi="Verdana" w:cs="Verdana"/>
          <w:bCs/>
          <w:iCs/>
          <w:sz w:val="18"/>
          <w:szCs w:val="18"/>
          <w:bdr w:val="nil"/>
        </w:rPr>
        <w:t>calculati</w:t>
      </w:r>
      <w:r w:rsidR="00BD5505" w:rsidRPr="008A5E19">
        <w:rPr>
          <w:rFonts w:ascii="Verdana" w:eastAsia="Verdana" w:hAnsi="Verdana" w:cs="Verdana"/>
          <w:bCs/>
          <w:iCs/>
          <w:sz w:val="18"/>
          <w:szCs w:val="18"/>
          <w:bdr w:val="nil"/>
        </w:rPr>
        <w:t>on</w:t>
      </w:r>
      <w:r w:rsidRPr="008A5E19">
        <w:rPr>
          <w:rFonts w:ascii="Verdana" w:eastAsia="Verdana" w:hAnsi="Verdana" w:cs="Verdana"/>
          <w:bCs/>
          <w:iCs/>
          <w:sz w:val="18"/>
          <w:szCs w:val="18"/>
          <w:bdr w:val="nil"/>
        </w:rPr>
        <w:t xml:space="preserve"> </w:t>
      </w:r>
      <w:r w:rsidR="00BD5505" w:rsidRPr="008A5E19">
        <w:rPr>
          <w:rFonts w:ascii="Verdana" w:eastAsia="Verdana" w:hAnsi="Verdana" w:cs="Verdana"/>
          <w:bCs/>
          <w:iCs/>
          <w:sz w:val="18"/>
          <w:szCs w:val="18"/>
          <w:bdr w:val="nil"/>
        </w:rPr>
        <w:t xml:space="preserve">of </w:t>
      </w:r>
      <w:r w:rsidRPr="008A5E19">
        <w:rPr>
          <w:rFonts w:ascii="Verdana" w:eastAsia="Verdana" w:hAnsi="Verdana" w:cs="Verdana"/>
          <w:bCs/>
          <w:iCs/>
          <w:sz w:val="18"/>
          <w:szCs w:val="18"/>
          <w:bdr w:val="nil"/>
        </w:rPr>
        <w:t xml:space="preserve">the </w:t>
      </w:r>
      <w:proofErr w:type="spellStart"/>
      <w:r w:rsidRPr="008A5E19">
        <w:rPr>
          <w:rFonts w:ascii="Verdana" w:eastAsia="Verdana" w:hAnsi="Verdana" w:cs="Verdana"/>
          <w:bCs/>
          <w:iCs/>
          <w:sz w:val="18"/>
          <w:szCs w:val="18"/>
          <w:bdr w:val="nil"/>
        </w:rPr>
        <w:t>deffered</w:t>
      </w:r>
      <w:proofErr w:type="spellEnd"/>
      <w:r w:rsidRPr="008A5E19">
        <w:rPr>
          <w:rFonts w:ascii="Verdana" w:eastAsia="Verdana" w:hAnsi="Verdana" w:cs="Verdana"/>
          <w:bCs/>
          <w:iCs/>
          <w:sz w:val="18"/>
          <w:szCs w:val="18"/>
          <w:bdr w:val="nil"/>
        </w:rPr>
        <w:t xml:space="preserve"> tax asset. Our report </w:t>
      </w:r>
      <w:proofErr w:type="gramStart"/>
      <w:r w:rsidRPr="008A5E19">
        <w:rPr>
          <w:rFonts w:ascii="Verdana" w:eastAsia="Verdana" w:hAnsi="Verdana" w:cs="Verdana"/>
          <w:bCs/>
          <w:iCs/>
          <w:sz w:val="18"/>
          <w:szCs w:val="18"/>
          <w:bdr w:val="nil"/>
        </w:rPr>
        <w:t>is not modified</w:t>
      </w:r>
      <w:proofErr w:type="gramEnd"/>
      <w:r w:rsidRPr="008A5E19">
        <w:rPr>
          <w:rFonts w:ascii="Verdana" w:eastAsia="Verdana" w:hAnsi="Verdana" w:cs="Verdana"/>
          <w:bCs/>
          <w:iCs/>
          <w:sz w:val="18"/>
          <w:szCs w:val="18"/>
          <w:bdr w:val="nil"/>
        </w:rPr>
        <w:t xml:space="preserve"> in respect of this matter.</w:t>
      </w:r>
    </w:p>
    <w:p w14:paraId="484F6C62" w14:textId="77777777" w:rsidR="00047580" w:rsidRPr="008A5E19" w:rsidRDefault="00047580" w:rsidP="00047580">
      <w:pPr>
        <w:widowControl w:val="0"/>
        <w:tabs>
          <w:tab w:val="right" w:pos="0"/>
          <w:tab w:val="left" w:pos="576"/>
        </w:tabs>
        <w:spacing w:after="0" w:line="276" w:lineRule="auto"/>
        <w:jc w:val="both"/>
        <w:rPr>
          <w:rFonts w:ascii="Verdana" w:eastAsia="Verdana" w:hAnsi="Verdana" w:cs="Verdana"/>
          <w:b/>
          <w:bCs/>
          <w:iCs/>
          <w:sz w:val="18"/>
          <w:szCs w:val="18"/>
          <w:bdr w:val="nil"/>
        </w:rPr>
      </w:pPr>
    </w:p>
    <w:p w14:paraId="29FDC524" w14:textId="42B5241E" w:rsidR="004A51C0" w:rsidRPr="008A5E19" w:rsidRDefault="0075087B" w:rsidP="00047580">
      <w:pPr>
        <w:widowControl w:val="0"/>
        <w:tabs>
          <w:tab w:val="right" w:pos="0"/>
          <w:tab w:val="left" w:pos="576"/>
        </w:tabs>
        <w:spacing w:after="120" w:line="276" w:lineRule="auto"/>
        <w:jc w:val="both"/>
        <w:rPr>
          <w:rFonts w:ascii="Verdana" w:eastAsia="Times New Roman" w:hAnsi="Verdana"/>
          <w:b/>
          <w:bCs/>
          <w:iCs/>
          <w:sz w:val="18"/>
          <w:szCs w:val="18"/>
        </w:rPr>
      </w:pPr>
      <w:r w:rsidRPr="008A5E19">
        <w:rPr>
          <w:rFonts w:ascii="Verdana" w:eastAsia="Verdana" w:hAnsi="Verdana" w:cs="Verdana"/>
          <w:b/>
          <w:bCs/>
          <w:iCs/>
          <w:sz w:val="18"/>
          <w:szCs w:val="18"/>
          <w:bdr w:val="nil"/>
        </w:rPr>
        <w:t>Other Matter</w:t>
      </w:r>
    </w:p>
    <w:p w14:paraId="0780D23E" w14:textId="6667203B" w:rsidR="004A51C0" w:rsidRPr="008A5E19" w:rsidRDefault="0075087B" w:rsidP="00047580">
      <w:pPr>
        <w:widowControl w:val="0"/>
        <w:tabs>
          <w:tab w:val="right" w:pos="0"/>
          <w:tab w:val="left" w:pos="576"/>
        </w:tabs>
        <w:spacing w:after="0" w:line="276" w:lineRule="auto"/>
        <w:jc w:val="both"/>
        <w:rPr>
          <w:rFonts w:ascii="Verdana" w:eastAsia="Times New Roman" w:hAnsi="Verdana"/>
          <w:bCs/>
          <w:iCs/>
          <w:sz w:val="18"/>
          <w:szCs w:val="18"/>
        </w:rPr>
      </w:pPr>
      <w:proofErr w:type="gramStart"/>
      <w:r w:rsidRPr="008A5E19">
        <w:rPr>
          <w:rFonts w:ascii="Verdana" w:eastAsia="Verdana" w:hAnsi="Verdana" w:cs="Verdana"/>
          <w:bCs/>
          <w:iCs/>
          <w:sz w:val="18"/>
          <w:szCs w:val="18"/>
          <w:bdr w:val="nil"/>
        </w:rPr>
        <w:t>The Group’s consolidated financial statements for the year ended December 31, 201</w:t>
      </w:r>
      <w:r w:rsidR="00E47FB2" w:rsidRPr="008A5E19">
        <w:rPr>
          <w:rFonts w:ascii="Verdana" w:eastAsia="Verdana" w:hAnsi="Verdana" w:cs="Verdana"/>
          <w:bCs/>
          <w:iCs/>
          <w:sz w:val="18"/>
          <w:szCs w:val="18"/>
          <w:bdr w:val="nil"/>
        </w:rPr>
        <w:t>8</w:t>
      </w:r>
      <w:r w:rsidRPr="008A5E19">
        <w:rPr>
          <w:rFonts w:ascii="Verdana" w:eastAsia="Verdana" w:hAnsi="Verdana" w:cs="Verdana"/>
          <w:bCs/>
          <w:iCs/>
          <w:sz w:val="18"/>
          <w:szCs w:val="18"/>
          <w:bdr w:val="nil"/>
        </w:rPr>
        <w:t xml:space="preserve"> were audited by another auditor who expressed an unqualified opinion on those statements on </w:t>
      </w:r>
      <w:r w:rsidR="00E47FB2" w:rsidRPr="008A5E19">
        <w:rPr>
          <w:rFonts w:ascii="Verdana" w:eastAsia="Verdana" w:hAnsi="Verdana" w:cs="Verdana"/>
          <w:bCs/>
          <w:iCs/>
          <w:sz w:val="18"/>
          <w:szCs w:val="18"/>
          <w:bdr w:val="nil"/>
        </w:rPr>
        <w:t>March 11,</w:t>
      </w:r>
      <w:r w:rsidRPr="008A5E19">
        <w:rPr>
          <w:rFonts w:ascii="Verdana" w:eastAsia="Verdana" w:hAnsi="Verdana" w:cs="Verdana"/>
          <w:bCs/>
          <w:iCs/>
          <w:sz w:val="18"/>
          <w:szCs w:val="18"/>
          <w:bdr w:val="nil"/>
        </w:rPr>
        <w:t xml:space="preserve"> 201</w:t>
      </w:r>
      <w:r w:rsidR="00E47FB2" w:rsidRPr="008A5E19">
        <w:rPr>
          <w:rFonts w:ascii="Verdana" w:eastAsia="Verdana" w:hAnsi="Verdana" w:cs="Verdana"/>
          <w:bCs/>
          <w:iCs/>
          <w:sz w:val="18"/>
          <w:szCs w:val="18"/>
          <w:bdr w:val="nil"/>
        </w:rPr>
        <w:t>9</w:t>
      </w:r>
      <w:proofErr w:type="gramEnd"/>
      <w:r w:rsidR="00E47FB2" w:rsidRPr="008A5E19">
        <w:rPr>
          <w:rFonts w:ascii="Verdana" w:eastAsia="Verdana" w:hAnsi="Verdana" w:cs="Verdana"/>
          <w:bCs/>
          <w:iCs/>
          <w:sz w:val="18"/>
          <w:szCs w:val="18"/>
          <w:bdr w:val="nil"/>
        </w:rPr>
        <w:t>.</w:t>
      </w:r>
    </w:p>
    <w:p w14:paraId="740E5808" w14:textId="77777777" w:rsidR="00DF4955" w:rsidRPr="008A5E19" w:rsidRDefault="00E01A61" w:rsidP="00047580">
      <w:pPr>
        <w:widowControl w:val="0"/>
        <w:spacing w:after="0" w:line="276" w:lineRule="auto"/>
        <w:jc w:val="both"/>
        <w:rPr>
          <w:rFonts w:ascii="Verdana" w:hAnsi="Verdana"/>
          <w:sz w:val="18"/>
          <w:szCs w:val="18"/>
        </w:rPr>
      </w:pPr>
    </w:p>
    <w:p w14:paraId="65541DFF" w14:textId="77777777" w:rsidR="00EF1A67" w:rsidRPr="008A5E19" w:rsidRDefault="00156794" w:rsidP="00047580">
      <w:pPr>
        <w:widowControl w:val="0"/>
        <w:tabs>
          <w:tab w:val="right" w:pos="0"/>
          <w:tab w:val="left" w:pos="576"/>
        </w:tabs>
        <w:spacing w:after="120" w:line="276" w:lineRule="auto"/>
        <w:jc w:val="both"/>
        <w:rPr>
          <w:rFonts w:ascii="Verdana" w:eastAsia="Times New Roman" w:hAnsi="Verdana"/>
          <w:b/>
          <w:bCs/>
          <w:iCs/>
          <w:sz w:val="18"/>
          <w:szCs w:val="18"/>
        </w:rPr>
      </w:pPr>
      <w:r w:rsidRPr="008A5E19">
        <w:rPr>
          <w:rFonts w:ascii="Verdana" w:eastAsia="Verdana" w:hAnsi="Verdana" w:cs="Verdana"/>
          <w:b/>
          <w:bCs/>
          <w:iCs/>
          <w:sz w:val="18"/>
          <w:szCs w:val="18"/>
          <w:bdr w:val="nil"/>
        </w:rPr>
        <w:t>Key Audit Matters</w:t>
      </w:r>
    </w:p>
    <w:p w14:paraId="670F9979" w14:textId="77777777" w:rsidR="00EF1A67" w:rsidRPr="008A5E19" w:rsidRDefault="0075087B" w:rsidP="00047580">
      <w:pPr>
        <w:widowControl w:val="0"/>
        <w:spacing w:after="0" w:line="276" w:lineRule="auto"/>
        <w:ind w:left="23" w:right="23"/>
        <w:jc w:val="both"/>
        <w:rPr>
          <w:rFonts w:ascii="Verdana" w:eastAsia="Times New Roman" w:hAnsi="Verdana"/>
          <w:bCs/>
          <w:iCs/>
          <w:sz w:val="18"/>
          <w:szCs w:val="18"/>
        </w:rPr>
      </w:pPr>
      <w:r w:rsidRPr="008A5E19">
        <w:rPr>
          <w:rFonts w:ascii="Verdana" w:eastAsia="Verdana" w:hAnsi="Verdana" w:cs="Verdana"/>
          <w:bCs/>
          <w:iCs/>
          <w:sz w:val="18"/>
          <w:szCs w:val="18"/>
          <w:bdr w:val="nil"/>
        </w:rPr>
        <w:t>Key audit matters are those matters that, in our professional judgment, were of most significance in our audit of the consolidated financial statements of the cur</w:t>
      </w:r>
      <w:r w:rsidR="00156794" w:rsidRPr="008A5E19">
        <w:rPr>
          <w:rFonts w:ascii="Verdana" w:eastAsia="Verdana" w:hAnsi="Verdana" w:cs="Verdana"/>
          <w:bCs/>
          <w:iCs/>
          <w:sz w:val="18"/>
          <w:szCs w:val="18"/>
          <w:bdr w:val="nil"/>
        </w:rPr>
        <w:t>rent period. They encompass the </w:t>
      </w:r>
      <w:r w:rsidRPr="008A5E19">
        <w:rPr>
          <w:rFonts w:ascii="Verdana" w:eastAsia="Verdana" w:hAnsi="Verdana" w:cs="Verdana"/>
          <w:bCs/>
          <w:iCs/>
          <w:sz w:val="18"/>
          <w:szCs w:val="18"/>
          <w:bdr w:val="nil"/>
        </w:rPr>
        <w:t xml:space="preserve">most significant assessed risks of material misstatement, including assessed risks of material misstatement due to fraud. These matters </w:t>
      </w:r>
      <w:proofErr w:type="gramStart"/>
      <w:r w:rsidRPr="008A5E19">
        <w:rPr>
          <w:rFonts w:ascii="Verdana" w:eastAsia="Verdana" w:hAnsi="Verdana" w:cs="Verdana"/>
          <w:bCs/>
          <w:iCs/>
          <w:sz w:val="18"/>
          <w:szCs w:val="18"/>
          <w:bdr w:val="nil"/>
        </w:rPr>
        <w:t>were addressed</w:t>
      </w:r>
      <w:proofErr w:type="gramEnd"/>
      <w:r w:rsidRPr="008A5E19">
        <w:rPr>
          <w:rFonts w:ascii="Verdana" w:eastAsia="Verdana" w:hAnsi="Verdana" w:cs="Verdana"/>
          <w:bCs/>
          <w:iCs/>
          <w:sz w:val="18"/>
          <w:szCs w:val="18"/>
          <w:bdr w:val="nil"/>
        </w:rPr>
        <w:t xml:space="preserve"> in </w:t>
      </w:r>
      <w:r w:rsidR="00156794" w:rsidRPr="008A5E19">
        <w:rPr>
          <w:rFonts w:ascii="Verdana" w:eastAsia="Verdana" w:hAnsi="Verdana" w:cs="Verdana"/>
          <w:bCs/>
          <w:iCs/>
          <w:sz w:val="18"/>
          <w:szCs w:val="18"/>
          <w:bdr w:val="nil"/>
        </w:rPr>
        <w:t>the context of our audit of the </w:t>
      </w:r>
      <w:r w:rsidRPr="008A5E19">
        <w:rPr>
          <w:rFonts w:ascii="Verdana" w:eastAsia="Verdana" w:hAnsi="Verdana" w:cs="Verdana"/>
          <w:bCs/>
          <w:iCs/>
          <w:sz w:val="18"/>
          <w:szCs w:val="18"/>
          <w:bdr w:val="nil"/>
        </w:rPr>
        <w:t xml:space="preserve">consolidated financial statements as a whole, and in </w:t>
      </w:r>
      <w:r w:rsidR="00156794" w:rsidRPr="008A5E19">
        <w:rPr>
          <w:rFonts w:ascii="Verdana" w:eastAsia="Verdana" w:hAnsi="Verdana" w:cs="Verdana"/>
          <w:bCs/>
          <w:iCs/>
          <w:sz w:val="18"/>
          <w:szCs w:val="18"/>
          <w:bdr w:val="nil"/>
        </w:rPr>
        <w:t>forming our opinion thereon. We </w:t>
      </w:r>
      <w:r w:rsidRPr="008A5E19">
        <w:rPr>
          <w:rFonts w:ascii="Verdana" w:eastAsia="Verdana" w:hAnsi="Verdana" w:cs="Verdana"/>
          <w:bCs/>
          <w:iCs/>
          <w:sz w:val="18"/>
          <w:szCs w:val="18"/>
          <w:bdr w:val="nil"/>
        </w:rPr>
        <w:t>summarized our response to those risks and, where appropriate, we presented the key findings related to those risks. We do not provide a separate opinion on these matters.</w:t>
      </w:r>
    </w:p>
    <w:p w14:paraId="4343F6AD" w14:textId="77777777" w:rsidR="0013683C" w:rsidRPr="008A5E19" w:rsidRDefault="0013683C" w:rsidP="0013683C">
      <w:pPr>
        <w:widowControl w:val="0"/>
        <w:spacing w:after="0" w:line="276" w:lineRule="auto"/>
        <w:ind w:left="23" w:right="23"/>
        <w:jc w:val="both"/>
        <w:rPr>
          <w:rFonts w:ascii="Verdana" w:eastAsia="Times New Roman" w:hAnsi="Verdana"/>
          <w:bCs/>
          <w:iCs/>
          <w:sz w:val="18"/>
          <w:szCs w:val="18"/>
        </w:rPr>
      </w:pPr>
    </w:p>
    <w:tbl>
      <w:tblPr>
        <w:tblW w:w="8931" w:type="dxa"/>
        <w:tblBorders>
          <w:top w:val="single" w:sz="4" w:space="0" w:color="7F7F7F"/>
          <w:bottom w:val="single" w:sz="4" w:space="0" w:color="7F7F7F"/>
        </w:tblBorders>
        <w:tblLook w:val="04A0" w:firstRow="1" w:lastRow="0" w:firstColumn="1" w:lastColumn="0" w:noHBand="0" w:noVBand="1"/>
      </w:tblPr>
      <w:tblGrid>
        <w:gridCol w:w="3969"/>
        <w:gridCol w:w="4962"/>
      </w:tblGrid>
      <w:tr w:rsidR="0013683C" w:rsidRPr="008A5E19" w14:paraId="7664386F" w14:textId="77777777" w:rsidTr="008A5E19">
        <w:trPr>
          <w:trHeight w:val="20"/>
        </w:trPr>
        <w:tc>
          <w:tcPr>
            <w:tcW w:w="3969" w:type="dxa"/>
            <w:tcBorders>
              <w:bottom w:val="single" w:sz="4" w:space="0" w:color="7F7F7F"/>
            </w:tcBorders>
            <w:shd w:val="clear" w:color="auto" w:fill="auto"/>
            <w:vAlign w:val="center"/>
          </w:tcPr>
          <w:p w14:paraId="215B267D" w14:textId="77777777" w:rsidR="0013683C" w:rsidRPr="008A5E19" w:rsidRDefault="0013683C" w:rsidP="00047015">
            <w:pPr>
              <w:widowControl w:val="0"/>
              <w:spacing w:after="0" w:line="276" w:lineRule="auto"/>
              <w:rPr>
                <w:rFonts w:ascii="Verdana" w:hAnsi="Verdana"/>
                <w:b/>
                <w:bCs/>
                <w:sz w:val="18"/>
                <w:szCs w:val="18"/>
              </w:rPr>
            </w:pPr>
            <w:r w:rsidRPr="008A5E19">
              <w:rPr>
                <w:rFonts w:ascii="Verdana" w:eastAsia="Verdana" w:hAnsi="Verdana" w:cs="Verdana"/>
                <w:b/>
                <w:bCs/>
                <w:sz w:val="18"/>
                <w:szCs w:val="18"/>
                <w:bdr w:val="nil"/>
                <w:lang w:val="en-GB"/>
              </w:rPr>
              <w:t>Key audit matter</w:t>
            </w:r>
          </w:p>
        </w:tc>
        <w:tc>
          <w:tcPr>
            <w:tcW w:w="4962" w:type="dxa"/>
            <w:tcBorders>
              <w:bottom w:val="single" w:sz="4" w:space="0" w:color="7F7F7F"/>
            </w:tcBorders>
            <w:shd w:val="clear" w:color="auto" w:fill="auto"/>
            <w:vAlign w:val="center"/>
          </w:tcPr>
          <w:p w14:paraId="40E04281" w14:textId="77777777" w:rsidR="0013683C" w:rsidRPr="008A5E19" w:rsidRDefault="0013683C" w:rsidP="00047015">
            <w:pPr>
              <w:widowControl w:val="0"/>
              <w:spacing w:after="0" w:line="276" w:lineRule="auto"/>
              <w:rPr>
                <w:rFonts w:ascii="Verdana" w:hAnsi="Verdana"/>
                <w:b/>
                <w:bCs/>
                <w:sz w:val="18"/>
                <w:szCs w:val="18"/>
              </w:rPr>
            </w:pPr>
            <w:r w:rsidRPr="008A5E19">
              <w:rPr>
                <w:rFonts w:ascii="Verdana" w:eastAsia="Verdana" w:hAnsi="Verdana" w:cs="Verdana"/>
                <w:b/>
                <w:bCs/>
                <w:sz w:val="18"/>
                <w:szCs w:val="18"/>
                <w:bdr w:val="nil"/>
                <w:lang w:val="en-GB"/>
              </w:rPr>
              <w:t>How we addressed the matter</w:t>
            </w:r>
          </w:p>
        </w:tc>
      </w:tr>
      <w:tr w:rsidR="0013683C" w:rsidRPr="008A5E19" w14:paraId="61D4162E" w14:textId="77777777" w:rsidTr="008A5E19">
        <w:trPr>
          <w:trHeight w:val="20"/>
        </w:trPr>
        <w:tc>
          <w:tcPr>
            <w:tcW w:w="3969" w:type="dxa"/>
            <w:tcBorders>
              <w:top w:val="single" w:sz="4" w:space="0" w:color="7F7F7F"/>
              <w:bottom w:val="single" w:sz="4" w:space="0" w:color="7F7F7F"/>
            </w:tcBorders>
            <w:shd w:val="clear" w:color="auto" w:fill="auto"/>
            <w:vAlign w:val="center"/>
          </w:tcPr>
          <w:p w14:paraId="7DD5F7E7" w14:textId="77777777" w:rsidR="0013683C" w:rsidRPr="008A5E19" w:rsidRDefault="0013683C" w:rsidP="001C17C2">
            <w:pPr>
              <w:widowControl w:val="0"/>
              <w:spacing w:after="0" w:line="276" w:lineRule="auto"/>
              <w:jc w:val="both"/>
              <w:rPr>
                <w:rFonts w:ascii="Verdana" w:hAnsi="Verdana"/>
                <w:b/>
                <w:bCs/>
                <w:sz w:val="18"/>
                <w:szCs w:val="18"/>
              </w:rPr>
            </w:pPr>
            <w:r w:rsidRPr="008A5E19">
              <w:rPr>
                <w:rFonts w:ascii="Verdana" w:eastAsia="Verdana" w:hAnsi="Verdana" w:cs="Verdana"/>
                <w:b/>
                <w:bCs/>
                <w:sz w:val="18"/>
                <w:szCs w:val="18"/>
                <w:bdr w:val="nil"/>
                <w:lang w:val="en-GB"/>
              </w:rPr>
              <w:t xml:space="preserve">Impairment of property, plant and equipment </w:t>
            </w:r>
          </w:p>
          <w:p w14:paraId="1494433F" w14:textId="77777777" w:rsidR="0013683C" w:rsidRPr="008A5E19" w:rsidRDefault="0013683C">
            <w:pPr>
              <w:widowControl w:val="0"/>
              <w:spacing w:after="0" w:line="276" w:lineRule="auto"/>
              <w:jc w:val="both"/>
              <w:rPr>
                <w:rFonts w:ascii="Verdana" w:hAnsi="Verdana"/>
                <w:b/>
                <w:bCs/>
                <w:sz w:val="18"/>
                <w:szCs w:val="18"/>
              </w:rPr>
            </w:pPr>
          </w:p>
          <w:p w14:paraId="16E471C6"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Net value of property, plant and equipment held by the </w:t>
            </w:r>
            <w:proofErr w:type="spellStart"/>
            <w:r w:rsidRPr="008A5E19">
              <w:rPr>
                <w:rFonts w:ascii="Verdana" w:eastAsia="Verdana" w:hAnsi="Verdana" w:cs="Verdana"/>
                <w:bCs/>
                <w:sz w:val="18"/>
                <w:szCs w:val="18"/>
                <w:bdr w:val="nil"/>
                <w:lang w:val="en-GB"/>
              </w:rPr>
              <w:t>Zespół</w:t>
            </w:r>
            <w:proofErr w:type="spellEnd"/>
            <w:r w:rsidRPr="008A5E19">
              <w:rPr>
                <w:rFonts w:ascii="Verdana" w:eastAsia="Verdana" w:hAnsi="Verdana" w:cs="Verdana"/>
                <w:bCs/>
                <w:sz w:val="18"/>
                <w:szCs w:val="18"/>
                <w:bdr w:val="nil"/>
                <w:lang w:val="en-GB"/>
              </w:rPr>
              <w:t xml:space="preserve"> </w:t>
            </w:r>
            <w:proofErr w:type="spellStart"/>
            <w:r w:rsidRPr="008A5E19">
              <w:rPr>
                <w:rFonts w:ascii="Verdana" w:eastAsia="Verdana" w:hAnsi="Verdana" w:cs="Verdana"/>
                <w:bCs/>
                <w:sz w:val="18"/>
                <w:szCs w:val="18"/>
                <w:bdr w:val="nil"/>
                <w:lang w:val="en-GB"/>
              </w:rPr>
              <w:t>Elektrociepłowni</w:t>
            </w:r>
            <w:proofErr w:type="spellEnd"/>
            <w:r w:rsidRPr="008A5E19">
              <w:rPr>
                <w:rFonts w:ascii="Verdana" w:eastAsia="Verdana" w:hAnsi="Verdana" w:cs="Verdana"/>
                <w:bCs/>
                <w:sz w:val="18"/>
                <w:szCs w:val="18"/>
                <w:bdr w:val="nil"/>
                <w:lang w:val="en-GB"/>
              </w:rPr>
              <w:t xml:space="preserve"> </w:t>
            </w:r>
            <w:proofErr w:type="spellStart"/>
            <w:r w:rsidRPr="008A5E19">
              <w:rPr>
                <w:rFonts w:ascii="Verdana" w:eastAsia="Verdana" w:hAnsi="Verdana" w:cs="Verdana"/>
                <w:bCs/>
                <w:sz w:val="18"/>
                <w:szCs w:val="18"/>
                <w:bdr w:val="nil"/>
                <w:lang w:val="en-GB"/>
              </w:rPr>
              <w:t>Wrocławskich</w:t>
            </w:r>
            <w:proofErr w:type="spellEnd"/>
            <w:r w:rsidRPr="008A5E19">
              <w:rPr>
                <w:rFonts w:ascii="Verdana" w:eastAsia="Verdana" w:hAnsi="Verdana" w:cs="Verdana"/>
                <w:bCs/>
                <w:sz w:val="18"/>
                <w:szCs w:val="18"/>
                <w:bdr w:val="nil"/>
                <w:lang w:val="en-GB"/>
              </w:rPr>
              <w:t xml:space="preserve"> KOGENERACJA S.A. Capital Group, presented in the consolidated financial statements as at 31 December 2019 was PLN 1 607 million and the goodwill amounted to PLN 42 million. </w:t>
            </w:r>
          </w:p>
          <w:p w14:paraId="54ED8102"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xml:space="preserve">As at 31 December </w:t>
            </w:r>
            <w:proofErr w:type="gramStart"/>
            <w:r w:rsidRPr="008A5E19">
              <w:rPr>
                <w:rFonts w:ascii="Verdana" w:eastAsia="Verdana" w:hAnsi="Verdana" w:cs="Verdana"/>
                <w:bCs/>
                <w:sz w:val="18"/>
                <w:szCs w:val="18"/>
                <w:bdr w:val="nil"/>
                <w:lang w:val="en-GB"/>
              </w:rPr>
              <w:t>2019</w:t>
            </w:r>
            <w:proofErr w:type="gramEnd"/>
            <w:r w:rsidRPr="008A5E19">
              <w:rPr>
                <w:rFonts w:ascii="Verdana" w:eastAsia="Verdana" w:hAnsi="Verdana" w:cs="Verdana"/>
                <w:bCs/>
                <w:sz w:val="18"/>
                <w:szCs w:val="18"/>
                <w:bdr w:val="nil"/>
                <w:lang w:val="en-GB"/>
              </w:rPr>
              <w:t xml:space="preserve"> the Management Board of the Parent identified indications of impairment of these assets, including changes in the prices of electricity, greenhouse gas emission certificates and raw materials.  Therefore, the Management Board of the Parent carried out impairment tests of cash generating units.  The tests </w:t>
            </w:r>
            <w:proofErr w:type="gramStart"/>
            <w:r w:rsidRPr="008A5E19">
              <w:rPr>
                <w:rFonts w:ascii="Verdana" w:eastAsia="Verdana" w:hAnsi="Verdana" w:cs="Verdana"/>
                <w:bCs/>
                <w:sz w:val="18"/>
                <w:szCs w:val="18"/>
                <w:bdr w:val="nil"/>
                <w:lang w:val="en-GB"/>
              </w:rPr>
              <w:t>were based</w:t>
            </w:r>
            <w:proofErr w:type="gramEnd"/>
            <w:r w:rsidRPr="008A5E19">
              <w:rPr>
                <w:rFonts w:ascii="Verdana" w:eastAsia="Verdana" w:hAnsi="Verdana" w:cs="Verdana"/>
                <w:bCs/>
                <w:sz w:val="18"/>
                <w:szCs w:val="18"/>
                <w:bdr w:val="nil"/>
                <w:lang w:val="en-GB"/>
              </w:rPr>
              <w:t xml:space="preserve"> on estimates adopted by the Management Board of the Parent, relying among others on price projections regarding electricity, bituminous coal, greenhouse gas emission certificates and including other key assumptions related </w:t>
            </w:r>
            <w:r w:rsidRPr="008A5E19">
              <w:rPr>
                <w:rFonts w:ascii="Verdana" w:eastAsia="Verdana" w:hAnsi="Verdana" w:cs="Verdana"/>
                <w:bCs/>
                <w:sz w:val="18"/>
                <w:szCs w:val="18"/>
                <w:bdr w:val="nil"/>
                <w:lang w:val="en-GB"/>
              </w:rPr>
              <w:lastRenderedPageBreak/>
              <w:t xml:space="preserve">to operational parameters, among others the effects of establishing the Polish Capacity Market and the national energy strategy adopted.  The impairment of property, plant and equipment </w:t>
            </w:r>
            <w:proofErr w:type="gramStart"/>
            <w:r w:rsidRPr="008A5E19">
              <w:rPr>
                <w:rFonts w:ascii="Verdana" w:eastAsia="Verdana" w:hAnsi="Verdana" w:cs="Verdana"/>
                <w:bCs/>
                <w:sz w:val="18"/>
                <w:szCs w:val="18"/>
                <w:bdr w:val="nil"/>
                <w:lang w:val="en-GB"/>
              </w:rPr>
              <w:t>was considered</w:t>
            </w:r>
            <w:proofErr w:type="gramEnd"/>
            <w:r w:rsidRPr="008A5E19">
              <w:rPr>
                <w:rFonts w:ascii="Verdana" w:eastAsia="Verdana" w:hAnsi="Verdana" w:cs="Verdana"/>
                <w:bCs/>
                <w:sz w:val="18"/>
                <w:szCs w:val="18"/>
                <w:bdr w:val="nil"/>
                <w:lang w:val="en-GB"/>
              </w:rPr>
              <w:t xml:space="preserve"> a key audit matter due to the value of these assets as reported in the consolidated financial statements, and due to material and complex estimates, included in the prepared impairment tests. </w:t>
            </w:r>
          </w:p>
          <w:p w14:paraId="367B1FE4" w14:textId="77777777" w:rsidR="0013683C" w:rsidRPr="008A5E19" w:rsidRDefault="0013683C" w:rsidP="008A5E19">
            <w:pPr>
              <w:widowControl w:val="0"/>
              <w:spacing w:after="0" w:line="276" w:lineRule="auto"/>
              <w:jc w:val="both"/>
              <w:rPr>
                <w:rFonts w:ascii="Verdana" w:hAnsi="Verdana"/>
                <w:b/>
                <w:bCs/>
                <w:sz w:val="18"/>
                <w:szCs w:val="18"/>
              </w:rPr>
            </w:pPr>
            <w:r w:rsidRPr="008A5E19">
              <w:rPr>
                <w:rFonts w:ascii="Verdana" w:eastAsia="Verdana" w:hAnsi="Verdana" w:cs="Verdana"/>
                <w:bCs/>
                <w:sz w:val="18"/>
                <w:szCs w:val="18"/>
                <w:bdr w:val="nil"/>
                <w:lang w:val="en-GB"/>
              </w:rPr>
              <w:t xml:space="preserve">Group’s disclosures regarding impairment tests performed </w:t>
            </w:r>
            <w:proofErr w:type="gramStart"/>
            <w:r w:rsidRPr="008A5E19">
              <w:rPr>
                <w:rFonts w:ascii="Verdana" w:eastAsia="Verdana" w:hAnsi="Verdana" w:cs="Verdana"/>
                <w:bCs/>
                <w:sz w:val="18"/>
                <w:szCs w:val="18"/>
                <w:bdr w:val="nil"/>
                <w:lang w:val="en-GB"/>
              </w:rPr>
              <w:t>are presented</w:t>
            </w:r>
            <w:proofErr w:type="gramEnd"/>
            <w:r w:rsidRPr="008A5E19">
              <w:rPr>
                <w:rFonts w:ascii="Verdana" w:eastAsia="Verdana" w:hAnsi="Verdana" w:cs="Verdana"/>
                <w:bCs/>
                <w:sz w:val="18"/>
                <w:szCs w:val="18"/>
                <w:bdr w:val="nil"/>
                <w:lang w:val="en-GB"/>
              </w:rPr>
              <w:t xml:space="preserve"> in Note 9 “Intangible assets” and in Note 13 “Impairment tests of assets”. Disclosures regarding material estimates </w:t>
            </w:r>
            <w:proofErr w:type="gramStart"/>
            <w:r w:rsidRPr="008A5E19">
              <w:rPr>
                <w:rFonts w:ascii="Verdana" w:eastAsia="Verdana" w:hAnsi="Verdana" w:cs="Verdana"/>
                <w:bCs/>
                <w:sz w:val="18"/>
                <w:szCs w:val="18"/>
                <w:bdr w:val="nil"/>
                <w:lang w:val="en-GB"/>
              </w:rPr>
              <w:t>are presented</w:t>
            </w:r>
            <w:proofErr w:type="gramEnd"/>
            <w:r w:rsidRPr="008A5E19">
              <w:rPr>
                <w:rFonts w:ascii="Verdana" w:eastAsia="Verdana" w:hAnsi="Verdana" w:cs="Verdana"/>
                <w:bCs/>
                <w:sz w:val="18"/>
                <w:szCs w:val="18"/>
                <w:bdr w:val="nil"/>
                <w:lang w:val="en-GB"/>
              </w:rPr>
              <w:t xml:space="preserve"> in Note 39 “Accounting estimates and assumptions”. </w:t>
            </w:r>
          </w:p>
        </w:tc>
        <w:tc>
          <w:tcPr>
            <w:tcW w:w="4962" w:type="dxa"/>
            <w:tcBorders>
              <w:top w:val="single" w:sz="4" w:space="0" w:color="7F7F7F"/>
              <w:bottom w:val="single" w:sz="4" w:space="0" w:color="7F7F7F"/>
            </w:tcBorders>
            <w:shd w:val="clear" w:color="auto" w:fill="auto"/>
            <w:vAlign w:val="center"/>
          </w:tcPr>
          <w:p w14:paraId="2C833277" w14:textId="77777777" w:rsidR="0013683C" w:rsidRPr="008A5E19" w:rsidRDefault="0013683C" w:rsidP="001C17C2">
            <w:pPr>
              <w:widowControl w:val="0"/>
              <w:spacing w:after="0" w:line="276" w:lineRule="auto"/>
              <w:jc w:val="both"/>
              <w:rPr>
                <w:rFonts w:ascii="Verdana" w:hAnsi="Verdana"/>
                <w:sz w:val="18"/>
                <w:szCs w:val="18"/>
              </w:rPr>
            </w:pPr>
          </w:p>
          <w:p w14:paraId="4033C164" w14:textId="77777777" w:rsidR="0013683C" w:rsidRPr="008A5E19" w:rsidRDefault="0013683C">
            <w:pPr>
              <w:widowControl w:val="0"/>
              <w:spacing w:after="0" w:line="276" w:lineRule="auto"/>
              <w:jc w:val="both"/>
              <w:rPr>
                <w:rFonts w:ascii="Verdana" w:hAnsi="Verdana"/>
                <w:sz w:val="18"/>
                <w:szCs w:val="18"/>
              </w:rPr>
            </w:pPr>
          </w:p>
          <w:p w14:paraId="1C8F0215"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During the audit, we documented our understanding of the process and identified controls regarding identification of impairment indications, as well as the process of testing assets for impairment. Further, we evaluated the approach to identification of cash generating units.  We designed and carried out audit procedures regarding the performed impairment tests. These procedures included assessment of the impairment model with underlying assumptions, were performed with support of evaluation experts and comprised:</w:t>
            </w:r>
          </w:p>
          <w:p w14:paraId="354F908F"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assessment of financial projections adopted by the Management Board in the form of comparison of the actual performance to former projections;</w:t>
            </w:r>
          </w:p>
          <w:p w14:paraId="486988E1"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comparison of the model assumptions (including future revenue, costs and generated margins) to market data presented by the Management Board;</w:t>
            </w:r>
          </w:p>
          <w:p w14:paraId="13B4EBCB"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comparison of the applied discount rates to market data;</w:t>
            </w:r>
          </w:p>
          <w:p w14:paraId="1EC68C3C"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analysis of arithmetical correctness of the discounted cash flows model and reconciliation of source data to the financial projections presented by the Management Board;</w:t>
            </w:r>
          </w:p>
          <w:p w14:paraId="41FEAA32" w14:textId="77777777" w:rsidR="0013683C" w:rsidRPr="008A5E19" w:rsidRDefault="0013683C" w:rsidP="008A5E19">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 </w:t>
            </w:r>
            <w:proofErr w:type="gramStart"/>
            <w:r w:rsidRPr="008A5E19">
              <w:rPr>
                <w:rFonts w:ascii="Verdana" w:eastAsia="Verdana" w:hAnsi="Verdana" w:cs="Verdana"/>
                <w:sz w:val="18"/>
                <w:szCs w:val="18"/>
                <w:bdr w:val="nil"/>
                <w:lang w:val="en-GB"/>
              </w:rPr>
              <w:t>evaluation</w:t>
            </w:r>
            <w:proofErr w:type="gramEnd"/>
            <w:r w:rsidRPr="008A5E19">
              <w:rPr>
                <w:rFonts w:ascii="Verdana" w:eastAsia="Verdana" w:hAnsi="Verdana" w:cs="Verdana"/>
                <w:sz w:val="18"/>
                <w:szCs w:val="18"/>
                <w:bdr w:val="nil"/>
                <w:lang w:val="en-GB"/>
              </w:rPr>
              <w:t xml:space="preserve"> of the adequacy of disclosures related to </w:t>
            </w:r>
            <w:r w:rsidRPr="008A5E19">
              <w:rPr>
                <w:rFonts w:ascii="Verdana" w:eastAsia="Verdana" w:hAnsi="Verdana" w:cs="Verdana"/>
                <w:sz w:val="18"/>
                <w:szCs w:val="18"/>
                <w:bdr w:val="nil"/>
                <w:lang w:val="en-GB"/>
              </w:rPr>
              <w:lastRenderedPageBreak/>
              <w:t xml:space="preserve">impairment tests.  </w:t>
            </w:r>
          </w:p>
        </w:tc>
      </w:tr>
      <w:tr w:rsidR="0013683C" w:rsidRPr="008A5E19" w14:paraId="7139A0D8" w14:textId="77777777" w:rsidTr="008A5E19">
        <w:trPr>
          <w:trHeight w:val="20"/>
        </w:trPr>
        <w:tc>
          <w:tcPr>
            <w:tcW w:w="3969" w:type="dxa"/>
            <w:shd w:val="clear" w:color="auto" w:fill="auto"/>
            <w:vAlign w:val="center"/>
          </w:tcPr>
          <w:p w14:paraId="2063D0A2" w14:textId="77777777" w:rsidR="0013683C" w:rsidRPr="008A5E19" w:rsidRDefault="0013683C" w:rsidP="001C17C2">
            <w:pPr>
              <w:widowControl w:val="0"/>
              <w:spacing w:after="0" w:line="276" w:lineRule="auto"/>
              <w:jc w:val="both"/>
              <w:rPr>
                <w:rFonts w:ascii="Verdana" w:hAnsi="Verdana"/>
                <w:b/>
                <w:bCs/>
                <w:sz w:val="18"/>
                <w:szCs w:val="18"/>
              </w:rPr>
            </w:pPr>
            <w:r w:rsidRPr="008A5E19">
              <w:rPr>
                <w:rFonts w:ascii="Verdana" w:eastAsia="Verdana" w:hAnsi="Verdana" w:cs="Verdana"/>
                <w:b/>
                <w:bCs/>
                <w:sz w:val="18"/>
                <w:szCs w:val="18"/>
                <w:bdr w:val="nil"/>
                <w:lang w:val="en-GB"/>
              </w:rPr>
              <w:lastRenderedPageBreak/>
              <w:t>Compensation for early termination of long-term contracts for the sale of power and electricity ((LTC)</w:t>
            </w:r>
          </w:p>
          <w:p w14:paraId="30479C3D" w14:textId="77777777" w:rsidR="0013683C" w:rsidRPr="008A5E19" w:rsidRDefault="0013683C">
            <w:pPr>
              <w:widowControl w:val="0"/>
              <w:spacing w:after="0" w:line="276" w:lineRule="auto"/>
              <w:jc w:val="both"/>
              <w:rPr>
                <w:rFonts w:ascii="Verdana" w:hAnsi="Verdana"/>
                <w:b/>
                <w:bCs/>
                <w:sz w:val="18"/>
                <w:szCs w:val="18"/>
              </w:rPr>
            </w:pPr>
          </w:p>
          <w:p w14:paraId="46418B47" w14:textId="77777777" w:rsidR="0013683C" w:rsidRPr="008A5E19" w:rsidRDefault="0013683C">
            <w:pPr>
              <w:widowControl w:val="0"/>
              <w:spacing w:after="0" w:line="276" w:lineRule="auto"/>
              <w:jc w:val="both"/>
              <w:rPr>
                <w:rFonts w:ascii="Verdana" w:hAnsi="Verdana"/>
                <w:bCs/>
                <w:sz w:val="18"/>
                <w:szCs w:val="18"/>
              </w:rPr>
            </w:pPr>
            <w:proofErr w:type="spellStart"/>
            <w:r w:rsidRPr="008A5E19">
              <w:rPr>
                <w:rFonts w:ascii="Verdana" w:eastAsia="Verdana" w:hAnsi="Verdana" w:cs="Verdana"/>
                <w:bCs/>
                <w:sz w:val="18"/>
                <w:szCs w:val="18"/>
                <w:bdr w:val="nil"/>
                <w:lang w:val="en-GB"/>
              </w:rPr>
              <w:t>Elektrociepłownia</w:t>
            </w:r>
            <w:proofErr w:type="spellEnd"/>
            <w:r w:rsidRPr="008A5E19">
              <w:rPr>
                <w:rFonts w:ascii="Verdana" w:eastAsia="Verdana" w:hAnsi="Verdana" w:cs="Verdana"/>
                <w:bCs/>
                <w:sz w:val="18"/>
                <w:szCs w:val="18"/>
                <w:bdr w:val="nil"/>
                <w:lang w:val="en-GB"/>
              </w:rPr>
              <w:t xml:space="preserve"> “Zielona Góra” S.A. (“EC Zielona Góra”), a subsidiary of the Parent, is participating in the system of stranded costs refunding regulated in the Act of 29 June 2007 on covering costs incurred by generation companies due to early termination of long-term contracts for the sale of power and electricity (“orphaned costs”, “Orphaned Cost Act”).  Pursuant to the provisions of the Act, EC Zielona Góra receives compensation for the orphaned costs arising from early termination of long-term contracts for the sale of power and electricity (LTC) in the form of quarterly advance payments adjusted on an annual basis.  After the end of the contractual period for which an LTC </w:t>
            </w:r>
            <w:proofErr w:type="gramStart"/>
            <w:r w:rsidRPr="008A5E19">
              <w:rPr>
                <w:rFonts w:ascii="Verdana" w:eastAsia="Verdana" w:hAnsi="Verdana" w:cs="Verdana"/>
                <w:bCs/>
                <w:sz w:val="18"/>
                <w:szCs w:val="18"/>
                <w:bdr w:val="nil"/>
                <w:lang w:val="en-GB"/>
              </w:rPr>
              <w:t>has been concluded</w:t>
            </w:r>
            <w:proofErr w:type="gramEnd"/>
            <w:r w:rsidRPr="008A5E19">
              <w:rPr>
                <w:rFonts w:ascii="Verdana" w:eastAsia="Verdana" w:hAnsi="Verdana" w:cs="Verdana"/>
                <w:bCs/>
                <w:sz w:val="18"/>
                <w:szCs w:val="18"/>
                <w:bdr w:val="nil"/>
                <w:lang w:val="en-GB"/>
              </w:rPr>
              <w:t xml:space="preserve">, the final adjustment is made.  Compensation payments to EC Zielona Góra recognised in the consolidated statement of comprehensive income for the year ended 31 December 2019 amounted to PLN 7 million.  </w:t>
            </w:r>
          </w:p>
          <w:p w14:paraId="5B8908B2"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xml:space="preserve">Revenue from annual adjustments and the expected final adjustment </w:t>
            </w:r>
            <w:proofErr w:type="gramStart"/>
            <w:r w:rsidRPr="008A5E19">
              <w:rPr>
                <w:rFonts w:ascii="Verdana" w:eastAsia="Verdana" w:hAnsi="Verdana" w:cs="Verdana"/>
                <w:bCs/>
                <w:sz w:val="18"/>
                <w:szCs w:val="18"/>
                <w:bdr w:val="nil"/>
                <w:lang w:val="en-GB"/>
              </w:rPr>
              <w:t>are quantified</w:t>
            </w:r>
            <w:proofErr w:type="gramEnd"/>
            <w:r w:rsidRPr="008A5E19">
              <w:rPr>
                <w:rFonts w:ascii="Verdana" w:eastAsia="Verdana" w:hAnsi="Verdana" w:cs="Verdana"/>
                <w:bCs/>
                <w:sz w:val="18"/>
                <w:szCs w:val="18"/>
                <w:bdr w:val="nil"/>
                <w:lang w:val="en-GB"/>
              </w:rPr>
              <w:t xml:space="preserve"> using a comprehensive financial model prepared by the Management Board of EC Zielona Góra, based on estimated operating performance of EC Zielona Góra during </w:t>
            </w:r>
            <w:r w:rsidRPr="008A5E19">
              <w:rPr>
                <w:rFonts w:ascii="Verdana" w:eastAsia="Verdana" w:hAnsi="Verdana" w:cs="Verdana"/>
                <w:bCs/>
                <w:sz w:val="18"/>
                <w:szCs w:val="18"/>
                <w:bdr w:val="nil"/>
                <w:lang w:val="en-GB"/>
              </w:rPr>
              <w:lastRenderedPageBreak/>
              <w:t>the period of its participation in the orphaned costs refunding system, i.e. until 2025. The compensation for early termination of long-term contracts is considered a key audit matter due to the scale of the transactions and to the </w:t>
            </w:r>
            <w:proofErr w:type="gramStart"/>
            <w:r w:rsidRPr="008A5E19">
              <w:rPr>
                <w:rFonts w:ascii="Verdana" w:eastAsia="Verdana" w:hAnsi="Verdana" w:cs="Verdana"/>
                <w:bCs/>
                <w:sz w:val="18"/>
                <w:szCs w:val="18"/>
                <w:bdr w:val="nil"/>
                <w:lang w:val="en-GB"/>
              </w:rPr>
              <w:t>fact</w:t>
            </w:r>
            <w:proofErr w:type="gramEnd"/>
            <w:r w:rsidRPr="008A5E19">
              <w:rPr>
                <w:rFonts w:ascii="Verdana" w:eastAsia="Verdana" w:hAnsi="Verdana" w:cs="Verdana"/>
                <w:bCs/>
                <w:sz w:val="18"/>
                <w:szCs w:val="18"/>
                <w:bdr w:val="nil"/>
                <w:lang w:val="en-GB"/>
              </w:rPr>
              <w:t xml:space="preserve"> it is the subject of material estimates made by the Management Board. </w:t>
            </w:r>
          </w:p>
          <w:p w14:paraId="331F6FB4" w14:textId="77777777" w:rsidR="0013683C" w:rsidRPr="008A5E19" w:rsidRDefault="0013683C" w:rsidP="008A5E19">
            <w:pPr>
              <w:widowControl w:val="0"/>
              <w:spacing w:after="0" w:line="276" w:lineRule="auto"/>
              <w:jc w:val="both"/>
              <w:rPr>
                <w:rFonts w:ascii="Verdana" w:hAnsi="Verdana"/>
                <w:b/>
                <w:bCs/>
                <w:sz w:val="18"/>
                <w:szCs w:val="18"/>
              </w:rPr>
            </w:pPr>
            <w:r w:rsidRPr="008A5E19">
              <w:rPr>
                <w:rFonts w:ascii="Verdana" w:eastAsia="Verdana" w:hAnsi="Verdana" w:cs="Verdana"/>
                <w:bCs/>
                <w:sz w:val="18"/>
                <w:szCs w:val="18"/>
                <w:bdr w:val="nil"/>
                <w:lang w:val="en-GB"/>
              </w:rPr>
              <w:t xml:space="preserve">Disclosures of costs related to LTC compensation are included in Note 2 “Compensation to cover orphaned costs in EC Zielona Góra S.A., a subsidiary”, presented in notes to the consolidated financial statements.  Disclosures regarding material estimates </w:t>
            </w:r>
            <w:proofErr w:type="gramStart"/>
            <w:r w:rsidRPr="008A5E19">
              <w:rPr>
                <w:rFonts w:ascii="Verdana" w:eastAsia="Verdana" w:hAnsi="Verdana" w:cs="Verdana"/>
                <w:bCs/>
                <w:sz w:val="18"/>
                <w:szCs w:val="18"/>
                <w:bdr w:val="nil"/>
                <w:lang w:val="en-GB"/>
              </w:rPr>
              <w:t>are presented</w:t>
            </w:r>
            <w:proofErr w:type="gramEnd"/>
            <w:r w:rsidRPr="008A5E19">
              <w:rPr>
                <w:rFonts w:ascii="Verdana" w:eastAsia="Verdana" w:hAnsi="Verdana" w:cs="Verdana"/>
                <w:bCs/>
                <w:sz w:val="18"/>
                <w:szCs w:val="18"/>
                <w:bdr w:val="nil"/>
                <w:lang w:val="en-GB"/>
              </w:rPr>
              <w:t xml:space="preserve"> in Note 39 “Accounting estimates and assumptions”. </w:t>
            </w:r>
          </w:p>
        </w:tc>
        <w:tc>
          <w:tcPr>
            <w:tcW w:w="4962" w:type="dxa"/>
            <w:shd w:val="clear" w:color="auto" w:fill="auto"/>
          </w:tcPr>
          <w:p w14:paraId="580D1A77" w14:textId="77777777" w:rsidR="0013683C" w:rsidRPr="008A5E19" w:rsidRDefault="0013683C" w:rsidP="001C17C2">
            <w:pPr>
              <w:widowControl w:val="0"/>
              <w:spacing w:after="0" w:line="276" w:lineRule="auto"/>
              <w:jc w:val="both"/>
              <w:rPr>
                <w:rFonts w:ascii="Verdana" w:hAnsi="Verdana"/>
                <w:sz w:val="18"/>
                <w:szCs w:val="18"/>
              </w:rPr>
            </w:pPr>
          </w:p>
          <w:p w14:paraId="09BD2B6A" w14:textId="77777777" w:rsidR="0013683C" w:rsidRPr="008A5E19" w:rsidRDefault="0013683C">
            <w:pPr>
              <w:widowControl w:val="0"/>
              <w:spacing w:after="0" w:line="276" w:lineRule="auto"/>
              <w:jc w:val="both"/>
              <w:rPr>
                <w:rFonts w:ascii="Verdana" w:hAnsi="Verdana"/>
                <w:sz w:val="18"/>
                <w:szCs w:val="18"/>
              </w:rPr>
            </w:pPr>
          </w:p>
          <w:p w14:paraId="39372F5D" w14:textId="77777777" w:rsidR="0013683C" w:rsidRPr="008A5E19" w:rsidRDefault="0013683C">
            <w:pPr>
              <w:widowControl w:val="0"/>
              <w:spacing w:after="0" w:line="276" w:lineRule="auto"/>
              <w:jc w:val="both"/>
              <w:rPr>
                <w:rFonts w:ascii="Verdana" w:hAnsi="Verdana"/>
                <w:sz w:val="18"/>
                <w:szCs w:val="18"/>
              </w:rPr>
            </w:pPr>
          </w:p>
          <w:p w14:paraId="1520E2EC" w14:textId="77777777" w:rsidR="0013683C" w:rsidRPr="008A5E19" w:rsidRDefault="0013683C">
            <w:pPr>
              <w:widowControl w:val="0"/>
              <w:spacing w:after="0" w:line="276" w:lineRule="auto"/>
              <w:jc w:val="both"/>
              <w:rPr>
                <w:rFonts w:ascii="Verdana" w:hAnsi="Verdana"/>
                <w:sz w:val="18"/>
                <w:szCs w:val="18"/>
              </w:rPr>
            </w:pPr>
          </w:p>
          <w:p w14:paraId="29AE2CEF"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During the audit, we analysed and evaluated the accounting policy with regard to the recognition of revenue from the compensation and the methodology of determining and recognising the revenue, adopted by the Management Board.  Further, we documented our understanding of the process and of the related controls regarding accounting treatment of the compensation amounts, including annual compensation, the final adjustment and refund of compensation carried out in prior years.  </w:t>
            </w:r>
          </w:p>
          <w:p w14:paraId="19FEA551"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Our procedures included also: </w:t>
            </w:r>
          </w:p>
          <w:p w14:paraId="5918DBC2"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evaluation of assumptions underlying the financial model used to calculate the final adjustment;</w:t>
            </w:r>
          </w:p>
          <w:p w14:paraId="29B37852"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assessment of the arithmetical correctness of this model;</w:t>
            </w:r>
          </w:p>
          <w:p w14:paraId="651BA945" w14:textId="77777777" w:rsidR="0013683C" w:rsidRPr="008A5E19" w:rsidRDefault="0013683C" w:rsidP="008A5E19">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 </w:t>
            </w:r>
            <w:proofErr w:type="gramStart"/>
            <w:r w:rsidRPr="008A5E19">
              <w:rPr>
                <w:rFonts w:ascii="Verdana" w:eastAsia="Verdana" w:hAnsi="Verdana" w:cs="Verdana"/>
                <w:sz w:val="18"/>
                <w:szCs w:val="18"/>
                <w:bdr w:val="nil"/>
                <w:lang w:val="en-GB"/>
              </w:rPr>
              <w:t>evaluation</w:t>
            </w:r>
            <w:proofErr w:type="gramEnd"/>
            <w:r w:rsidRPr="008A5E19">
              <w:rPr>
                <w:rFonts w:ascii="Verdana" w:eastAsia="Verdana" w:hAnsi="Verdana" w:cs="Verdana"/>
                <w:sz w:val="18"/>
                <w:szCs w:val="18"/>
                <w:bdr w:val="nil"/>
                <w:lang w:val="en-GB"/>
              </w:rPr>
              <w:t xml:space="preserve"> of adequacy of disclosures regarding revenue from the compensation, reported in the consolidated financial statements. </w:t>
            </w:r>
          </w:p>
        </w:tc>
      </w:tr>
      <w:tr w:rsidR="0013683C" w:rsidRPr="008A5E19" w14:paraId="6EED0488" w14:textId="77777777" w:rsidTr="008A5E19">
        <w:trPr>
          <w:trHeight w:val="20"/>
        </w:trPr>
        <w:tc>
          <w:tcPr>
            <w:tcW w:w="3969" w:type="dxa"/>
            <w:tcBorders>
              <w:top w:val="single" w:sz="4" w:space="0" w:color="7F7F7F"/>
              <w:bottom w:val="single" w:sz="4" w:space="0" w:color="7F7F7F"/>
            </w:tcBorders>
            <w:shd w:val="clear" w:color="auto" w:fill="auto"/>
            <w:vAlign w:val="center"/>
          </w:tcPr>
          <w:p w14:paraId="4ADC6412" w14:textId="77777777" w:rsidR="0013683C" w:rsidRPr="008A5E19" w:rsidRDefault="0013683C" w:rsidP="001C17C2">
            <w:pPr>
              <w:widowControl w:val="0"/>
              <w:spacing w:after="0" w:line="276" w:lineRule="auto"/>
              <w:jc w:val="both"/>
              <w:rPr>
                <w:rFonts w:ascii="Verdana" w:hAnsi="Verdana"/>
                <w:b/>
                <w:bCs/>
                <w:sz w:val="18"/>
                <w:szCs w:val="18"/>
              </w:rPr>
            </w:pPr>
            <w:r w:rsidRPr="008A5E19">
              <w:rPr>
                <w:rFonts w:ascii="Verdana" w:eastAsia="Verdana" w:hAnsi="Verdana" w:cs="Verdana"/>
                <w:b/>
                <w:bCs/>
                <w:sz w:val="18"/>
                <w:szCs w:val="18"/>
                <w:bdr w:val="nil"/>
                <w:lang w:val="en-GB"/>
              </w:rPr>
              <w:t>First-time audit of consolidated financial statements</w:t>
            </w:r>
          </w:p>
          <w:p w14:paraId="03F7EC12" w14:textId="77777777" w:rsidR="0013683C" w:rsidRPr="008A5E19" w:rsidRDefault="0013683C">
            <w:pPr>
              <w:widowControl w:val="0"/>
              <w:spacing w:after="0" w:line="276" w:lineRule="auto"/>
              <w:jc w:val="both"/>
              <w:rPr>
                <w:rFonts w:ascii="Verdana" w:hAnsi="Verdana"/>
                <w:b/>
                <w:bCs/>
                <w:sz w:val="18"/>
                <w:szCs w:val="18"/>
              </w:rPr>
            </w:pPr>
          </w:p>
          <w:p w14:paraId="592826BC"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xml:space="preserve">The financial statements of the Group for the year ended 31 December 2019 were the first consolidated financial statements audited by us.  Due to the scale and scope of Group’s operations, understanding of its organizational structure and its effects on processes performed within the Group was of crucial importance.  </w:t>
            </w:r>
          </w:p>
          <w:p w14:paraId="7462DCF9"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During the audit, we carried out a series of additional procedures in order to gain understanding and knowledge of:</w:t>
            </w:r>
          </w:p>
          <w:p w14:paraId="0FC44521"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the operating profile of the Group and the accompanying processes;</w:t>
            </w:r>
          </w:p>
          <w:p w14:paraId="779CC273"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specific risks related to its operations;</w:t>
            </w:r>
          </w:p>
          <w:p w14:paraId="53DCB036"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xml:space="preserve">- </w:t>
            </w:r>
            <w:proofErr w:type="gramStart"/>
            <w:r w:rsidRPr="008A5E19">
              <w:rPr>
                <w:rFonts w:ascii="Verdana" w:eastAsia="Verdana" w:hAnsi="Verdana" w:cs="Verdana"/>
                <w:bCs/>
                <w:sz w:val="18"/>
                <w:szCs w:val="18"/>
                <w:bdr w:val="nil"/>
                <w:lang w:val="en-GB"/>
              </w:rPr>
              <w:t>controls</w:t>
            </w:r>
            <w:proofErr w:type="gramEnd"/>
            <w:r w:rsidRPr="008A5E19">
              <w:rPr>
                <w:rFonts w:ascii="Verdana" w:eastAsia="Verdana" w:hAnsi="Verdana" w:cs="Verdana"/>
                <w:bCs/>
                <w:sz w:val="18"/>
                <w:szCs w:val="18"/>
                <w:bdr w:val="nil"/>
                <w:lang w:val="en-GB"/>
              </w:rPr>
              <w:t xml:space="preserve"> implemented by the Group and adopted policies that affect its financial reporting.  </w:t>
            </w:r>
          </w:p>
          <w:p w14:paraId="5460D9F6" w14:textId="77777777" w:rsidR="0013683C" w:rsidRPr="008A5E19" w:rsidRDefault="0013683C">
            <w:pPr>
              <w:widowControl w:val="0"/>
              <w:spacing w:after="0" w:line="276" w:lineRule="auto"/>
              <w:jc w:val="both"/>
              <w:rPr>
                <w:rFonts w:ascii="Verdana" w:hAnsi="Verdana"/>
                <w:bCs/>
                <w:sz w:val="18"/>
                <w:szCs w:val="18"/>
              </w:rPr>
            </w:pPr>
          </w:p>
          <w:p w14:paraId="2296A41C" w14:textId="77777777" w:rsidR="0013683C" w:rsidRPr="008A5E19" w:rsidRDefault="0013683C">
            <w:pPr>
              <w:widowControl w:val="0"/>
              <w:spacing w:after="0" w:line="276" w:lineRule="auto"/>
              <w:jc w:val="both"/>
              <w:rPr>
                <w:rFonts w:ascii="Verdana" w:hAnsi="Verdana"/>
                <w:bCs/>
                <w:sz w:val="18"/>
                <w:szCs w:val="18"/>
              </w:rPr>
            </w:pPr>
            <w:r w:rsidRPr="008A5E19">
              <w:rPr>
                <w:rFonts w:ascii="Verdana" w:eastAsia="Verdana" w:hAnsi="Verdana" w:cs="Verdana"/>
                <w:bCs/>
                <w:sz w:val="18"/>
                <w:szCs w:val="18"/>
                <w:bdr w:val="nil"/>
                <w:lang w:val="en-GB"/>
              </w:rPr>
              <w:t xml:space="preserve">Owing to these procedures, we were able to evaluate the audit risk, identify the risk of material misstatement including inherent audit risks and control risk, determine the materiality level and the scope of audit procedures.  </w:t>
            </w:r>
          </w:p>
          <w:p w14:paraId="082295AD" w14:textId="77777777" w:rsidR="0013683C" w:rsidRPr="008A5E19" w:rsidRDefault="0013683C" w:rsidP="008A5E19">
            <w:pPr>
              <w:widowControl w:val="0"/>
              <w:spacing w:after="0" w:line="276" w:lineRule="auto"/>
              <w:jc w:val="both"/>
              <w:rPr>
                <w:rFonts w:ascii="Verdana" w:hAnsi="Verdana"/>
                <w:b/>
                <w:bCs/>
                <w:sz w:val="18"/>
                <w:szCs w:val="18"/>
              </w:rPr>
            </w:pPr>
            <w:proofErr w:type="gramStart"/>
            <w:r w:rsidRPr="008A5E19">
              <w:rPr>
                <w:rFonts w:ascii="Verdana" w:eastAsia="Verdana" w:hAnsi="Verdana" w:cs="Verdana"/>
                <w:bCs/>
                <w:sz w:val="18"/>
                <w:szCs w:val="18"/>
                <w:bdr w:val="nil"/>
                <w:lang w:val="en-GB"/>
              </w:rPr>
              <w:t xml:space="preserve">Additionally, during the first-time audit of the consolidated financial statements, the additional procedures performed by us were to determine whether the opening balances included any potential material misstatement that would affect the consolidated financial statements for the current period and </w:t>
            </w:r>
            <w:r w:rsidRPr="008A5E19">
              <w:rPr>
                <w:rFonts w:ascii="Verdana" w:eastAsia="Verdana" w:hAnsi="Verdana" w:cs="Verdana"/>
                <w:bCs/>
                <w:sz w:val="18"/>
                <w:szCs w:val="18"/>
                <w:bdr w:val="nil"/>
                <w:lang w:val="en-GB"/>
              </w:rPr>
              <w:lastRenderedPageBreak/>
              <w:t>whether the accounting principles (policy) adopted in relation to these opening balances were applied on a continuous basis when preparing the consolidated financial statements for the current period, or whether changes introduced to them were correctly accounted for and appropriately presented in line with the applicable financial reporting framework.</w:t>
            </w:r>
            <w:proofErr w:type="gramEnd"/>
            <w:r w:rsidRPr="008A5E19">
              <w:rPr>
                <w:rFonts w:ascii="Verdana" w:eastAsia="Verdana" w:hAnsi="Verdana" w:cs="Verdana"/>
                <w:bCs/>
                <w:sz w:val="18"/>
                <w:szCs w:val="18"/>
                <w:bdr w:val="nil"/>
                <w:lang w:val="en-GB"/>
              </w:rPr>
              <w:t xml:space="preserve"> </w:t>
            </w:r>
          </w:p>
        </w:tc>
        <w:tc>
          <w:tcPr>
            <w:tcW w:w="4962" w:type="dxa"/>
            <w:tcBorders>
              <w:top w:val="single" w:sz="4" w:space="0" w:color="7F7F7F"/>
              <w:bottom w:val="single" w:sz="4" w:space="0" w:color="7F7F7F"/>
            </w:tcBorders>
            <w:shd w:val="clear" w:color="auto" w:fill="auto"/>
            <w:vAlign w:val="center"/>
          </w:tcPr>
          <w:p w14:paraId="31D4B69C" w14:textId="77777777" w:rsidR="0013683C" w:rsidRPr="008A5E19" w:rsidRDefault="0013683C" w:rsidP="001C17C2">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lastRenderedPageBreak/>
              <w:t xml:space="preserve">In particular, our audit procedures included: </w:t>
            </w:r>
          </w:p>
          <w:p w14:paraId="486E5151"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organizing a kick-off meeting with the key personnel responsible for the Group’s financial reporting;</w:t>
            </w:r>
          </w:p>
          <w:p w14:paraId="4B3277AD"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analysing controls implemented in the Group and testing selected controls regarding individual processes;</w:t>
            </w:r>
          </w:p>
          <w:p w14:paraId="6A260D39"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understanding of the Group’s accounting policy and material figures recognised in the consolidated financial statements based on professional judgment and estimates;</w:t>
            </w:r>
          </w:p>
          <w:p w14:paraId="50D63AB1"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 communication with the key statutory auditor representing the former audit firm that included a discussion of key matters that occurred during the Group’s audit performed by that auditor; </w:t>
            </w:r>
          </w:p>
          <w:p w14:paraId="45968339"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assessment of audit matters for the prior reporting period and their effects on the Group’s financial statements for the current financial year and on the opening balances;</w:t>
            </w:r>
          </w:p>
          <w:p w14:paraId="3A350344" w14:textId="77777777" w:rsidR="0013683C" w:rsidRPr="008A5E19" w:rsidRDefault="0013683C">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evaluation of the adequacy of disclosures in the financial statements of the Group, made in line with International Accounting Standard 8 “Accounting Principles (Policy), Changes in Accounting Estimates and Errors”.</w:t>
            </w:r>
          </w:p>
          <w:p w14:paraId="1ECB0E37" w14:textId="77777777" w:rsidR="0013683C" w:rsidRPr="008A5E19" w:rsidRDefault="0013683C" w:rsidP="008A5E19">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lang w:val="en-GB"/>
              </w:rPr>
              <w:t xml:space="preserve">The outcome of our procedures </w:t>
            </w:r>
            <w:proofErr w:type="gramStart"/>
            <w:r w:rsidRPr="008A5E19">
              <w:rPr>
                <w:rFonts w:ascii="Verdana" w:eastAsia="Verdana" w:hAnsi="Verdana" w:cs="Verdana"/>
                <w:sz w:val="18"/>
                <w:szCs w:val="18"/>
                <w:bdr w:val="nil"/>
                <w:lang w:val="en-GB"/>
              </w:rPr>
              <w:t>was communicated</w:t>
            </w:r>
            <w:proofErr w:type="gramEnd"/>
            <w:r w:rsidRPr="008A5E19">
              <w:rPr>
                <w:rFonts w:ascii="Verdana" w:eastAsia="Verdana" w:hAnsi="Verdana" w:cs="Verdana"/>
                <w:sz w:val="18"/>
                <w:szCs w:val="18"/>
                <w:bdr w:val="nil"/>
                <w:lang w:val="en-GB"/>
              </w:rPr>
              <w:t xml:space="preserve"> to the Management Board of the Group and to its Audit Committee.</w:t>
            </w:r>
          </w:p>
        </w:tc>
      </w:tr>
    </w:tbl>
    <w:p w14:paraId="15D3CA39" w14:textId="77777777" w:rsidR="0013683C" w:rsidRPr="008A5E19" w:rsidRDefault="0013683C" w:rsidP="0013683C">
      <w:pPr>
        <w:widowControl w:val="0"/>
        <w:spacing w:after="0" w:line="276" w:lineRule="auto"/>
        <w:rPr>
          <w:rFonts w:ascii="Times New Roman" w:hAnsi="Times New Roman"/>
          <w:sz w:val="24"/>
          <w:szCs w:val="24"/>
        </w:rPr>
      </w:pPr>
    </w:p>
    <w:p w14:paraId="263F664B" w14:textId="77777777" w:rsidR="00EF1A67" w:rsidRPr="008A5E19" w:rsidRDefault="00E01A61" w:rsidP="00047580">
      <w:pPr>
        <w:widowControl w:val="0"/>
        <w:spacing w:after="0" w:line="276" w:lineRule="auto"/>
        <w:rPr>
          <w:rFonts w:ascii="Times New Roman" w:hAnsi="Times New Roman"/>
          <w:sz w:val="24"/>
          <w:szCs w:val="24"/>
        </w:rPr>
      </w:pPr>
    </w:p>
    <w:p w14:paraId="69440503" w14:textId="77777777" w:rsidR="00DF4955" w:rsidRPr="008A5E19" w:rsidRDefault="0075087B" w:rsidP="00047580">
      <w:pPr>
        <w:widowControl w:val="0"/>
        <w:spacing w:after="120" w:line="276" w:lineRule="auto"/>
        <w:jc w:val="both"/>
        <w:outlineLvl w:val="3"/>
        <w:rPr>
          <w:rFonts w:ascii="Verdana" w:hAnsi="Verdana"/>
          <w:b/>
          <w:sz w:val="18"/>
          <w:szCs w:val="18"/>
        </w:rPr>
      </w:pPr>
      <w:r w:rsidRPr="008A5E19">
        <w:rPr>
          <w:rFonts w:ascii="Verdana" w:eastAsia="Verdana" w:hAnsi="Verdana" w:cs="Verdana"/>
          <w:b/>
          <w:bCs/>
          <w:iCs/>
          <w:sz w:val="18"/>
          <w:szCs w:val="18"/>
          <w:bdr w:val="nil"/>
        </w:rPr>
        <w:t xml:space="preserve">Responsibilities of the Management Board and the Supervisory Board </w:t>
      </w:r>
      <w:r w:rsidR="00156794" w:rsidRPr="008A5E19">
        <w:rPr>
          <w:rFonts w:ascii="Verdana" w:eastAsia="Verdana" w:hAnsi="Verdana" w:cs="Verdana"/>
          <w:b/>
          <w:bCs/>
          <w:iCs/>
          <w:sz w:val="18"/>
          <w:szCs w:val="18"/>
          <w:bdr w:val="nil"/>
        </w:rPr>
        <w:t>of the Parent for the </w:t>
      </w:r>
      <w:r w:rsidRPr="008A5E19">
        <w:rPr>
          <w:rFonts w:ascii="Verdana" w:eastAsia="Verdana" w:hAnsi="Verdana" w:cs="Verdana"/>
          <w:b/>
          <w:bCs/>
          <w:iCs/>
          <w:sz w:val="18"/>
          <w:szCs w:val="18"/>
          <w:bdr w:val="nil"/>
        </w:rPr>
        <w:t>Consolidated Financial Statements</w:t>
      </w:r>
    </w:p>
    <w:p w14:paraId="71814603" w14:textId="05478B62" w:rsidR="00DF4955" w:rsidRPr="008A5E19" w:rsidRDefault="0075087B" w:rsidP="00047580">
      <w:pPr>
        <w:widowControl w:val="0"/>
        <w:spacing w:after="0" w:line="276" w:lineRule="auto"/>
        <w:jc w:val="both"/>
        <w:rPr>
          <w:rFonts w:ascii="Verdana" w:eastAsia="Verdana" w:hAnsi="Verdana" w:cs="Verdana"/>
          <w:sz w:val="18"/>
          <w:szCs w:val="18"/>
          <w:bdr w:val="nil"/>
        </w:rPr>
      </w:pPr>
      <w:proofErr w:type="gramStart"/>
      <w:r w:rsidRPr="008A5E19">
        <w:rPr>
          <w:rFonts w:ascii="Verdana" w:eastAsia="Verdana" w:hAnsi="Verdana" w:cs="Verdana"/>
          <w:sz w:val="18"/>
          <w:szCs w:val="18"/>
          <w:bdr w:val="nil"/>
        </w:rPr>
        <w:t>The Parent’s Management Board is responsible for the preparation of consolidated financial statements which give a true and fair view of the economic and fina</w:t>
      </w:r>
      <w:r w:rsidR="00156794" w:rsidRPr="008A5E19">
        <w:rPr>
          <w:rFonts w:ascii="Verdana" w:eastAsia="Verdana" w:hAnsi="Verdana" w:cs="Verdana"/>
          <w:sz w:val="18"/>
          <w:szCs w:val="18"/>
          <w:bdr w:val="nil"/>
        </w:rPr>
        <w:t>ncial position of the Group</w:t>
      </w:r>
      <w:r w:rsidR="00156794" w:rsidRPr="008A5E19">
        <w:rPr>
          <w:rFonts w:ascii="Verdana" w:eastAsia="Verdana" w:hAnsi="Verdana" w:cs="Verdana"/>
          <w:sz w:val="18"/>
          <w:szCs w:val="18"/>
          <w:bdr w:val="nil"/>
        </w:rPr>
        <w:br/>
        <w:t>and </w:t>
      </w:r>
      <w:r w:rsidRPr="008A5E19">
        <w:rPr>
          <w:rFonts w:ascii="Verdana" w:eastAsia="Verdana" w:hAnsi="Verdana" w:cs="Verdana"/>
          <w:sz w:val="18"/>
          <w:szCs w:val="18"/>
          <w:bdr w:val="nil"/>
        </w:rPr>
        <w:t>of its financial performance in accordance with the applicable International Financial Reporting Standards, as endorsed by the European Union, the adopted acc</w:t>
      </w:r>
      <w:r w:rsidR="00156794" w:rsidRPr="008A5E19">
        <w:rPr>
          <w:rFonts w:ascii="Verdana" w:eastAsia="Verdana" w:hAnsi="Verdana" w:cs="Verdana"/>
          <w:sz w:val="18"/>
          <w:szCs w:val="18"/>
          <w:bdr w:val="nil"/>
        </w:rPr>
        <w:t>ounting policies as well as</w:t>
      </w:r>
      <w:r w:rsidR="00047580" w:rsidRPr="008A5E19">
        <w:rPr>
          <w:rFonts w:ascii="Verdana" w:eastAsia="Verdana" w:hAnsi="Verdana" w:cs="Verdana"/>
          <w:sz w:val="18"/>
          <w:szCs w:val="18"/>
          <w:bdr w:val="nil"/>
        </w:rPr>
        <w:t> </w:t>
      </w:r>
      <w:r w:rsidR="00156794" w:rsidRPr="008A5E19">
        <w:rPr>
          <w:rFonts w:ascii="Verdana" w:eastAsia="Verdana" w:hAnsi="Verdana" w:cs="Verdana"/>
          <w:sz w:val="18"/>
          <w:szCs w:val="18"/>
          <w:bdr w:val="nil"/>
        </w:rPr>
        <w:t>the </w:t>
      </w:r>
      <w:r w:rsidRPr="008A5E19">
        <w:rPr>
          <w:rFonts w:ascii="Verdana" w:eastAsia="Verdana" w:hAnsi="Verdana" w:cs="Verdana"/>
          <w:sz w:val="18"/>
          <w:szCs w:val="18"/>
          <w:bdr w:val="nil"/>
        </w:rPr>
        <w:t>applicable laws and articles of association of the Parent, and f</w:t>
      </w:r>
      <w:r w:rsidR="00156794" w:rsidRPr="008A5E19">
        <w:rPr>
          <w:rFonts w:ascii="Verdana" w:eastAsia="Verdana" w:hAnsi="Verdana" w:cs="Verdana"/>
          <w:sz w:val="18"/>
          <w:szCs w:val="18"/>
          <w:bdr w:val="nil"/>
        </w:rPr>
        <w:t>or such internal control as the </w:t>
      </w:r>
      <w:r w:rsidRPr="008A5E19">
        <w:rPr>
          <w:rFonts w:ascii="Verdana" w:eastAsia="Verdana" w:hAnsi="Verdana" w:cs="Verdana"/>
          <w:sz w:val="18"/>
          <w:szCs w:val="18"/>
          <w:bdr w:val="nil"/>
        </w:rPr>
        <w:t>Parent’s Management Board determines is necessa</w:t>
      </w:r>
      <w:r w:rsidR="00156794" w:rsidRPr="008A5E19">
        <w:rPr>
          <w:rFonts w:ascii="Verdana" w:eastAsia="Verdana" w:hAnsi="Verdana" w:cs="Verdana"/>
          <w:sz w:val="18"/>
          <w:szCs w:val="18"/>
          <w:bdr w:val="nil"/>
        </w:rPr>
        <w:t>ry to enable the preparation of </w:t>
      </w:r>
      <w:r w:rsidRPr="008A5E19">
        <w:rPr>
          <w:rFonts w:ascii="Verdana" w:eastAsia="Verdana" w:hAnsi="Verdana" w:cs="Verdana"/>
          <w:sz w:val="18"/>
          <w:szCs w:val="18"/>
          <w:bdr w:val="nil"/>
        </w:rPr>
        <w:t>consolidated financial statements that are free from material misstatement, whether due to fraud or error.</w:t>
      </w:r>
      <w:proofErr w:type="gramEnd"/>
    </w:p>
    <w:p w14:paraId="0767DFF2" w14:textId="77777777" w:rsidR="00047580" w:rsidRPr="008A5E19" w:rsidRDefault="00047580" w:rsidP="00047580">
      <w:pPr>
        <w:widowControl w:val="0"/>
        <w:spacing w:after="0" w:line="276" w:lineRule="auto"/>
        <w:jc w:val="both"/>
        <w:rPr>
          <w:rFonts w:ascii="Verdana" w:hAnsi="Verdana"/>
          <w:sz w:val="18"/>
          <w:szCs w:val="18"/>
        </w:rPr>
      </w:pPr>
    </w:p>
    <w:p w14:paraId="37070E52" w14:textId="77777777" w:rsidR="00DF4955" w:rsidRPr="008A5E19" w:rsidRDefault="0075087B" w:rsidP="00047580">
      <w:pPr>
        <w:widowControl w:val="0"/>
        <w:spacing w:after="0" w:line="276" w:lineRule="auto"/>
        <w:jc w:val="both"/>
        <w:rPr>
          <w:rFonts w:ascii="Verdana" w:eastAsia="Verdana" w:hAnsi="Verdana" w:cs="Verdana"/>
          <w:sz w:val="18"/>
          <w:szCs w:val="18"/>
          <w:bdr w:val="nil"/>
        </w:rPr>
      </w:pPr>
      <w:proofErr w:type="gramStart"/>
      <w:r w:rsidRPr="008A5E19">
        <w:rPr>
          <w:rFonts w:ascii="Verdana" w:eastAsia="Verdana" w:hAnsi="Verdana" w:cs="Verdana"/>
          <w:sz w:val="18"/>
          <w:szCs w:val="18"/>
          <w:bdr w:val="nil"/>
        </w:rPr>
        <w:t>In preparing the consolidated financial statements, the Parent’s Management Board is responsible for assessing the Group’s ability to continue as a going concern, disclosing, as applicable, matters related to going concern and using the going concern basis of accounting unless the Parent’s Management Board either intends to liquidate the Group or to cease operations, or has no realistic alternative but to do so.</w:t>
      </w:r>
      <w:proofErr w:type="gramEnd"/>
    </w:p>
    <w:p w14:paraId="24BD3D9A" w14:textId="77777777" w:rsidR="00047580" w:rsidRPr="008A5E19" w:rsidRDefault="00047580" w:rsidP="00047580">
      <w:pPr>
        <w:widowControl w:val="0"/>
        <w:spacing w:after="0" w:line="276" w:lineRule="auto"/>
        <w:jc w:val="both"/>
        <w:rPr>
          <w:rFonts w:ascii="Verdana" w:hAnsi="Verdana"/>
          <w:sz w:val="18"/>
          <w:szCs w:val="18"/>
        </w:rPr>
      </w:pPr>
    </w:p>
    <w:p w14:paraId="0AF1004F" w14:textId="1F1BEE35" w:rsidR="00DF4955" w:rsidRPr="008A5E19" w:rsidRDefault="0075087B" w:rsidP="00047580">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rPr>
        <w:t>The Management Board and members of the Supervisory Board</w:t>
      </w:r>
      <w:r w:rsidRPr="008A5E19">
        <w:rPr>
          <w:rFonts w:ascii="Times New Roman" w:eastAsia="Times New Roman" w:hAnsi="Times New Roman"/>
          <w:sz w:val="24"/>
          <w:szCs w:val="24"/>
          <w:bdr w:val="nil"/>
        </w:rPr>
        <w:t xml:space="preserve"> </w:t>
      </w:r>
      <w:r w:rsidRPr="008A5E19">
        <w:rPr>
          <w:rFonts w:ascii="Verdana" w:eastAsia="Verdana" w:hAnsi="Verdana" w:cs="Verdana"/>
          <w:sz w:val="18"/>
          <w:szCs w:val="18"/>
          <w:bdr w:val="nil"/>
        </w:rPr>
        <w:t>of the Parent</w:t>
      </w:r>
      <w:r w:rsidRPr="008A5E19">
        <w:rPr>
          <w:rFonts w:ascii="Times New Roman" w:eastAsia="Times New Roman" w:hAnsi="Times New Roman"/>
          <w:sz w:val="24"/>
          <w:szCs w:val="24"/>
          <w:bdr w:val="nil"/>
        </w:rPr>
        <w:t xml:space="preserve"> </w:t>
      </w:r>
      <w:r w:rsidRPr="008A5E19">
        <w:rPr>
          <w:rFonts w:ascii="Verdana" w:eastAsia="Verdana" w:hAnsi="Verdana" w:cs="Verdana"/>
          <w:sz w:val="18"/>
          <w:szCs w:val="18"/>
          <w:bdr w:val="nil"/>
        </w:rPr>
        <w:t>are obliged</w:t>
      </w:r>
      <w:r w:rsidR="00411AB8" w:rsidRPr="008A5E19">
        <w:rPr>
          <w:rFonts w:ascii="Verdana" w:eastAsia="Verdana" w:hAnsi="Verdana" w:cs="Verdana"/>
          <w:sz w:val="18"/>
          <w:szCs w:val="18"/>
          <w:bdr w:val="nil"/>
        </w:rPr>
        <w:t xml:space="preserve"> </w:t>
      </w:r>
      <w:r w:rsidR="00156794" w:rsidRPr="008A5E19">
        <w:rPr>
          <w:rFonts w:ascii="Verdana" w:eastAsia="Verdana" w:hAnsi="Verdana" w:cs="Verdana"/>
          <w:sz w:val="18"/>
          <w:szCs w:val="18"/>
          <w:bdr w:val="nil"/>
        </w:rPr>
        <w:t>to </w:t>
      </w:r>
      <w:r w:rsidRPr="008A5E19">
        <w:rPr>
          <w:rFonts w:ascii="Verdana" w:eastAsia="Verdana" w:hAnsi="Verdana" w:cs="Verdana"/>
          <w:sz w:val="18"/>
          <w:szCs w:val="18"/>
          <w:bdr w:val="nil"/>
        </w:rPr>
        <w:t>ensure that the consolidated financial statements meet the requirements of the Accountin</w:t>
      </w:r>
      <w:r w:rsidR="00156794" w:rsidRPr="008A5E19">
        <w:rPr>
          <w:rFonts w:ascii="Verdana" w:eastAsia="Verdana" w:hAnsi="Verdana" w:cs="Verdana"/>
          <w:sz w:val="18"/>
          <w:szCs w:val="18"/>
          <w:bdr w:val="nil"/>
        </w:rPr>
        <w:t>g Act of 29 September 1994 (the </w:t>
      </w:r>
      <w:r w:rsidRPr="008A5E19">
        <w:rPr>
          <w:rFonts w:ascii="Verdana" w:eastAsia="Verdana" w:hAnsi="Verdana" w:cs="Verdana"/>
          <w:sz w:val="18"/>
          <w:szCs w:val="18"/>
          <w:bdr w:val="nil"/>
        </w:rPr>
        <w:t>“Accounting Act”,</w:t>
      </w:r>
      <w:r w:rsidR="00644DD7" w:rsidRPr="008A5E19">
        <w:rPr>
          <w:rFonts w:ascii="Verdana" w:eastAsia="Verdana" w:hAnsi="Verdana" w:cs="Verdana"/>
          <w:sz w:val="18"/>
          <w:szCs w:val="18"/>
          <w:bdr w:val="nil"/>
        </w:rPr>
        <w:t xml:space="preserve"> Journal of Laws of 2019, item 3</w:t>
      </w:r>
      <w:r w:rsidRPr="008A5E19">
        <w:rPr>
          <w:rFonts w:ascii="Verdana" w:eastAsia="Verdana" w:hAnsi="Verdana" w:cs="Verdana"/>
          <w:sz w:val="18"/>
          <w:szCs w:val="18"/>
          <w:bdr w:val="nil"/>
        </w:rPr>
        <w:t>5</w:t>
      </w:r>
      <w:r w:rsidR="00644DD7" w:rsidRPr="008A5E19">
        <w:rPr>
          <w:rFonts w:ascii="Verdana" w:eastAsia="Verdana" w:hAnsi="Verdana" w:cs="Verdana"/>
          <w:sz w:val="18"/>
          <w:szCs w:val="18"/>
          <w:bdr w:val="nil"/>
        </w:rPr>
        <w:t>1</w:t>
      </w:r>
      <w:r w:rsidR="00A9762E" w:rsidRPr="008A5E19">
        <w:rPr>
          <w:rFonts w:ascii="Verdana" w:eastAsia="Verdana" w:hAnsi="Verdana" w:cs="Verdana"/>
          <w:sz w:val="18"/>
          <w:szCs w:val="18"/>
          <w:bdr w:val="nil"/>
        </w:rPr>
        <w:t>, as amended</w:t>
      </w:r>
      <w:r w:rsidRPr="008A5E19">
        <w:rPr>
          <w:rFonts w:ascii="Verdana" w:eastAsia="Verdana" w:hAnsi="Verdana" w:cs="Verdana"/>
          <w:sz w:val="18"/>
          <w:szCs w:val="18"/>
          <w:bdr w:val="nil"/>
        </w:rPr>
        <w:t>)</w:t>
      </w:r>
      <w:r w:rsidR="00C42AA4" w:rsidRPr="008A5E19">
        <w:rPr>
          <w:rFonts w:ascii="Verdana" w:eastAsia="Verdana" w:hAnsi="Verdana" w:cs="Verdana"/>
          <w:sz w:val="18"/>
          <w:szCs w:val="18"/>
          <w:bdr w:val="nil"/>
        </w:rPr>
        <w:t xml:space="preserve">. </w:t>
      </w:r>
      <w:r w:rsidRPr="008A5E19">
        <w:rPr>
          <w:rFonts w:ascii="Verdana" w:eastAsia="Verdana" w:hAnsi="Verdana" w:cs="Verdana"/>
          <w:sz w:val="18"/>
          <w:szCs w:val="18"/>
          <w:bdr w:val="nil"/>
        </w:rPr>
        <w:t>Members of the Parent’s Supervisory Board are responsible for overseeing the financial reporting process.</w:t>
      </w:r>
    </w:p>
    <w:p w14:paraId="5AA5957D" w14:textId="77777777" w:rsidR="00047580" w:rsidRPr="008A5E19" w:rsidRDefault="00047580" w:rsidP="00047580">
      <w:pPr>
        <w:widowControl w:val="0"/>
        <w:spacing w:after="0" w:line="276" w:lineRule="auto"/>
        <w:jc w:val="both"/>
        <w:outlineLvl w:val="3"/>
        <w:rPr>
          <w:rFonts w:ascii="Verdana" w:eastAsia="Verdana" w:hAnsi="Verdana" w:cs="Verdana"/>
          <w:b/>
          <w:bCs/>
          <w:iCs/>
          <w:sz w:val="18"/>
          <w:szCs w:val="18"/>
          <w:bdr w:val="nil"/>
        </w:rPr>
      </w:pPr>
    </w:p>
    <w:p w14:paraId="1D64BE7E" w14:textId="77777777" w:rsidR="00DF4955" w:rsidRPr="008A5E19" w:rsidRDefault="0075087B" w:rsidP="00047580">
      <w:pPr>
        <w:widowControl w:val="0"/>
        <w:spacing w:after="120" w:line="276" w:lineRule="auto"/>
        <w:jc w:val="both"/>
        <w:outlineLvl w:val="3"/>
        <w:rPr>
          <w:rFonts w:ascii="Verdana" w:hAnsi="Verdana"/>
          <w:b/>
          <w:sz w:val="18"/>
          <w:szCs w:val="18"/>
        </w:rPr>
      </w:pPr>
      <w:r w:rsidRPr="008A5E19">
        <w:rPr>
          <w:rFonts w:ascii="Verdana" w:eastAsia="Verdana" w:hAnsi="Verdana" w:cs="Verdana"/>
          <w:b/>
          <w:bCs/>
          <w:iCs/>
          <w:sz w:val="18"/>
          <w:szCs w:val="18"/>
          <w:bdr w:val="nil"/>
        </w:rPr>
        <w:t>Auditor’s Responsibilities for the Audit of the Consolidated Financial Statements</w:t>
      </w:r>
    </w:p>
    <w:p w14:paraId="3CECB8B2" w14:textId="77777777"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Our objectives are to obtain reasonable assurance about whether the consolidated financial statements as a whole are free from material misstatement, whethe</w:t>
      </w:r>
      <w:r w:rsidR="00156794" w:rsidRPr="008A5E19">
        <w:rPr>
          <w:rFonts w:ascii="Verdana" w:eastAsia="Verdana" w:hAnsi="Verdana" w:cs="Verdana"/>
          <w:sz w:val="18"/>
          <w:szCs w:val="18"/>
          <w:bdr w:val="nil"/>
        </w:rPr>
        <w:t>r due to fraud or error, and to </w:t>
      </w:r>
      <w:r w:rsidRPr="008A5E19">
        <w:rPr>
          <w:rFonts w:ascii="Verdana" w:eastAsia="Verdana" w:hAnsi="Verdana" w:cs="Verdana"/>
          <w:sz w:val="18"/>
          <w:szCs w:val="18"/>
          <w:bdr w:val="nil"/>
        </w:rPr>
        <w:t>issue an auditor’s report that includes our opinion. Reasonab</w:t>
      </w:r>
      <w:r w:rsidR="00156794" w:rsidRPr="008A5E19">
        <w:rPr>
          <w:rFonts w:ascii="Verdana" w:eastAsia="Verdana" w:hAnsi="Verdana" w:cs="Verdana"/>
          <w:sz w:val="18"/>
          <w:szCs w:val="18"/>
          <w:bdr w:val="nil"/>
        </w:rPr>
        <w:t>le assurance is a high level of </w:t>
      </w:r>
      <w:r w:rsidRPr="008A5E19">
        <w:rPr>
          <w:rFonts w:ascii="Verdana" w:eastAsia="Verdana" w:hAnsi="Verdana" w:cs="Verdana"/>
          <w:sz w:val="18"/>
          <w:szCs w:val="18"/>
          <w:bdr w:val="nil"/>
        </w:rPr>
        <w:t xml:space="preserve">assurance, but is not a guarantee that an audit conducted in accordance with PSAs will always detect a material misstatement when it exists. Misstatements can arise from fraud or error and are considered material if, individually or </w:t>
      </w:r>
      <w:proofErr w:type="gramStart"/>
      <w:r w:rsidRPr="008A5E19">
        <w:rPr>
          <w:rFonts w:ascii="Verdana" w:eastAsia="Verdana" w:hAnsi="Verdana" w:cs="Verdana"/>
          <w:sz w:val="18"/>
          <w:szCs w:val="18"/>
          <w:bdr w:val="nil"/>
        </w:rPr>
        <w:t>in the aggregate</w:t>
      </w:r>
      <w:proofErr w:type="gramEnd"/>
      <w:r w:rsidRPr="008A5E19">
        <w:rPr>
          <w:rFonts w:ascii="Verdana" w:eastAsia="Verdana" w:hAnsi="Verdana" w:cs="Verdana"/>
          <w:sz w:val="18"/>
          <w:szCs w:val="18"/>
          <w:bdr w:val="nil"/>
        </w:rPr>
        <w:t xml:space="preserve">, they </w:t>
      </w:r>
      <w:r w:rsidR="00156794" w:rsidRPr="008A5E19">
        <w:rPr>
          <w:rFonts w:ascii="Verdana" w:eastAsia="Verdana" w:hAnsi="Verdana" w:cs="Verdana"/>
          <w:sz w:val="18"/>
          <w:szCs w:val="18"/>
          <w:bdr w:val="nil"/>
        </w:rPr>
        <w:t>could reasonably be expected to </w:t>
      </w:r>
      <w:r w:rsidRPr="008A5E19">
        <w:rPr>
          <w:rFonts w:ascii="Verdana" w:eastAsia="Verdana" w:hAnsi="Verdana" w:cs="Verdana"/>
          <w:sz w:val="18"/>
          <w:szCs w:val="18"/>
          <w:bdr w:val="nil"/>
        </w:rPr>
        <w:t>influence the economic decisions of users taken on the basis of these consolidated financial statements.</w:t>
      </w:r>
    </w:p>
    <w:p w14:paraId="60766518" w14:textId="77777777" w:rsidR="00047580" w:rsidRPr="008A5E19" w:rsidRDefault="00047580" w:rsidP="00047580">
      <w:pPr>
        <w:widowControl w:val="0"/>
        <w:spacing w:after="0" w:line="276" w:lineRule="auto"/>
        <w:jc w:val="both"/>
        <w:rPr>
          <w:rFonts w:ascii="Verdana" w:hAnsi="Verdana"/>
          <w:sz w:val="18"/>
          <w:szCs w:val="18"/>
        </w:rPr>
      </w:pPr>
    </w:p>
    <w:p w14:paraId="39114128" w14:textId="77777777"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The scope of an audit does not include an assurance about the futur</w:t>
      </w:r>
      <w:r w:rsidR="00156794" w:rsidRPr="008A5E19">
        <w:rPr>
          <w:rFonts w:ascii="Verdana" w:eastAsia="Verdana" w:hAnsi="Verdana" w:cs="Verdana"/>
          <w:sz w:val="18"/>
          <w:szCs w:val="18"/>
          <w:bdr w:val="nil"/>
        </w:rPr>
        <w:t>e profitability of the Group</w:t>
      </w:r>
      <w:r w:rsidR="00156794" w:rsidRPr="008A5E19">
        <w:rPr>
          <w:rFonts w:ascii="Verdana" w:eastAsia="Verdana" w:hAnsi="Verdana" w:cs="Verdana"/>
          <w:sz w:val="18"/>
          <w:szCs w:val="18"/>
          <w:bdr w:val="nil"/>
        </w:rPr>
        <w:br/>
        <w:t>or </w:t>
      </w:r>
      <w:r w:rsidRPr="008A5E19">
        <w:rPr>
          <w:rFonts w:ascii="Verdana" w:eastAsia="Verdana" w:hAnsi="Verdana" w:cs="Verdana"/>
          <w:sz w:val="18"/>
          <w:szCs w:val="18"/>
          <w:bdr w:val="nil"/>
        </w:rPr>
        <w:t>the effectiveness or efficiency of the Parent’s Management Board in managing the Group’s affairs at present or in the future.</w:t>
      </w:r>
    </w:p>
    <w:p w14:paraId="65FD6389" w14:textId="77777777" w:rsidR="00047580" w:rsidRPr="008A5E19" w:rsidRDefault="00047580" w:rsidP="00047580">
      <w:pPr>
        <w:widowControl w:val="0"/>
        <w:spacing w:after="0" w:line="276" w:lineRule="auto"/>
        <w:jc w:val="both"/>
        <w:rPr>
          <w:rFonts w:ascii="Verdana" w:hAnsi="Verdana"/>
          <w:sz w:val="18"/>
          <w:szCs w:val="18"/>
        </w:rPr>
      </w:pPr>
    </w:p>
    <w:p w14:paraId="44E06DF7" w14:textId="77777777" w:rsidR="00DF4955" w:rsidRPr="008A5E19" w:rsidRDefault="0075087B" w:rsidP="00047580">
      <w:pPr>
        <w:widowControl w:val="0"/>
        <w:spacing w:after="120" w:line="276" w:lineRule="auto"/>
        <w:jc w:val="both"/>
        <w:rPr>
          <w:rFonts w:ascii="Verdana" w:hAnsi="Verdana"/>
          <w:sz w:val="18"/>
          <w:szCs w:val="18"/>
        </w:rPr>
      </w:pPr>
      <w:r w:rsidRPr="008A5E19">
        <w:rPr>
          <w:rFonts w:ascii="Verdana" w:eastAsia="Verdana" w:hAnsi="Verdana" w:cs="Verdana"/>
          <w:sz w:val="18"/>
          <w:szCs w:val="18"/>
          <w:bdr w:val="nil"/>
        </w:rPr>
        <w:t>As part of an audit in accordance with PSAs, we exercise professional judgment and maintain professional skepticism throughout the audit. We also:</w:t>
      </w:r>
    </w:p>
    <w:p w14:paraId="70E7657C" w14:textId="77777777" w:rsidR="00DF4955" w:rsidRPr="008A5E19" w:rsidRDefault="0075087B" w:rsidP="00047580">
      <w:pPr>
        <w:pStyle w:val="ListParagraph"/>
        <w:widowControl w:val="0"/>
        <w:numPr>
          <w:ilvl w:val="0"/>
          <w:numId w:val="6"/>
        </w:numPr>
        <w:spacing w:after="120" w:line="276" w:lineRule="auto"/>
        <w:ind w:left="426" w:hanging="426"/>
        <w:contextualSpacing w:val="0"/>
        <w:jc w:val="both"/>
        <w:rPr>
          <w:rFonts w:ascii="Verdana" w:hAnsi="Verdana"/>
          <w:sz w:val="18"/>
          <w:szCs w:val="18"/>
        </w:rPr>
      </w:pPr>
      <w:r w:rsidRPr="008A5E19">
        <w:rPr>
          <w:rFonts w:ascii="Verdana" w:eastAsia="Verdana" w:hAnsi="Verdana" w:cs="Verdana"/>
          <w:sz w:val="18"/>
          <w:szCs w:val="18"/>
          <w:bdr w:val="nil"/>
        </w:rPr>
        <w:t xml:space="preserve">identify and assess the risks of material misstatement of the consolidated financial statements, </w:t>
      </w:r>
      <w:r w:rsidRPr="008A5E19">
        <w:rPr>
          <w:rFonts w:ascii="Verdana" w:eastAsia="Verdana" w:hAnsi="Verdana" w:cs="Verdana"/>
          <w:sz w:val="18"/>
          <w:szCs w:val="18"/>
          <w:bdr w:val="nil"/>
        </w:rPr>
        <w:lastRenderedPageBreak/>
        <w:t>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82D2E32" w14:textId="77777777" w:rsidR="00DF4955" w:rsidRPr="008A5E19" w:rsidRDefault="0075087B" w:rsidP="00047580">
      <w:pPr>
        <w:pStyle w:val="ListParagraph"/>
        <w:widowControl w:val="0"/>
        <w:numPr>
          <w:ilvl w:val="0"/>
          <w:numId w:val="6"/>
        </w:numPr>
        <w:spacing w:after="120" w:line="276" w:lineRule="auto"/>
        <w:ind w:left="426" w:hanging="426"/>
        <w:contextualSpacing w:val="0"/>
        <w:jc w:val="both"/>
        <w:rPr>
          <w:rFonts w:ascii="Verdana" w:hAnsi="Verdana"/>
          <w:sz w:val="18"/>
          <w:szCs w:val="18"/>
        </w:rPr>
      </w:pPr>
      <w:r w:rsidRPr="008A5E19">
        <w:rPr>
          <w:rFonts w:ascii="Verdana" w:eastAsia="Verdana" w:hAnsi="Verdana" w:cs="Verdana"/>
          <w:sz w:val="18"/>
          <w:szCs w:val="18"/>
          <w:bdr w:val="nil"/>
        </w:rPr>
        <w:t>obtain an understanding of internal control relevant to the audit in order to design audit procedures that are appropriate in the circumstances, but not for the purpose of expressing an opinion on the effectiveness o</w:t>
      </w:r>
      <w:r w:rsidR="00156794" w:rsidRPr="008A5E19">
        <w:rPr>
          <w:rFonts w:ascii="Verdana" w:eastAsia="Verdana" w:hAnsi="Verdana" w:cs="Verdana"/>
          <w:sz w:val="18"/>
          <w:szCs w:val="18"/>
          <w:bdr w:val="nil"/>
        </w:rPr>
        <w:t>f the Group’s internal control;</w:t>
      </w:r>
    </w:p>
    <w:p w14:paraId="78522095" w14:textId="77777777" w:rsidR="00DF4955" w:rsidRPr="008A5E19" w:rsidRDefault="0075087B" w:rsidP="00047580">
      <w:pPr>
        <w:pStyle w:val="ListParagraph"/>
        <w:widowControl w:val="0"/>
        <w:numPr>
          <w:ilvl w:val="0"/>
          <w:numId w:val="6"/>
        </w:numPr>
        <w:spacing w:after="120" w:line="276" w:lineRule="auto"/>
        <w:ind w:left="426" w:hanging="426"/>
        <w:contextualSpacing w:val="0"/>
        <w:jc w:val="both"/>
        <w:rPr>
          <w:rFonts w:ascii="Verdana" w:hAnsi="Verdana"/>
          <w:sz w:val="18"/>
          <w:szCs w:val="18"/>
        </w:rPr>
      </w:pPr>
      <w:r w:rsidRPr="008A5E19">
        <w:rPr>
          <w:rFonts w:ascii="Verdana" w:eastAsia="Verdana" w:hAnsi="Verdana" w:cs="Verdana"/>
          <w:sz w:val="18"/>
          <w:szCs w:val="18"/>
          <w:bdr w:val="nil"/>
        </w:rPr>
        <w:t>evaluate the appropriateness of accounting policies used and the reasonableness of accounting estimates and related disclosures made by the Parent’s Management Board;</w:t>
      </w:r>
    </w:p>
    <w:p w14:paraId="01B8EE0B" w14:textId="77777777" w:rsidR="00DF4955" w:rsidRPr="008A5E19" w:rsidRDefault="0075087B" w:rsidP="00047580">
      <w:pPr>
        <w:pStyle w:val="ListParagraph"/>
        <w:widowControl w:val="0"/>
        <w:numPr>
          <w:ilvl w:val="0"/>
          <w:numId w:val="6"/>
        </w:numPr>
        <w:spacing w:after="120" w:line="276" w:lineRule="auto"/>
        <w:ind w:left="426" w:hanging="426"/>
        <w:contextualSpacing w:val="0"/>
        <w:jc w:val="both"/>
        <w:rPr>
          <w:rFonts w:ascii="Verdana" w:hAnsi="Verdana"/>
          <w:sz w:val="18"/>
          <w:szCs w:val="18"/>
        </w:rPr>
      </w:pPr>
      <w:proofErr w:type="gramStart"/>
      <w:r w:rsidRPr="008A5E19">
        <w:rPr>
          <w:rFonts w:ascii="Verdana" w:eastAsia="Verdana" w:hAnsi="Verdana" w:cs="Verdana"/>
          <w:sz w:val="18"/>
          <w:szCs w:val="18"/>
          <w:bdr w:val="nil"/>
        </w:rPr>
        <w:t>conclude</w:t>
      </w:r>
      <w:proofErr w:type="gramEnd"/>
      <w:r w:rsidRPr="008A5E19">
        <w:rPr>
          <w:rFonts w:ascii="Verdana" w:eastAsia="Verdana" w:hAnsi="Verdana" w:cs="Verdana"/>
          <w:sz w:val="18"/>
          <w:szCs w:val="18"/>
          <w:bdr w:val="nil"/>
        </w:rPr>
        <w:t xml:space="preserve"> on the appropriateness of the Parent’s Management Board’s use of the going concern basis of accounting and, based on the audit evidence obtained, whether a material uncertainty exists related to events or conditions that may cast significant </w:t>
      </w:r>
      <w:r w:rsidR="00156794" w:rsidRPr="008A5E19">
        <w:rPr>
          <w:rFonts w:ascii="Verdana" w:eastAsia="Verdana" w:hAnsi="Verdana" w:cs="Verdana"/>
          <w:sz w:val="18"/>
          <w:szCs w:val="18"/>
          <w:bdr w:val="nil"/>
        </w:rPr>
        <w:t>doubt on the Group’s ability to </w:t>
      </w:r>
      <w:r w:rsidRPr="008A5E19">
        <w:rPr>
          <w:rFonts w:ascii="Verdana" w:eastAsia="Verdana" w:hAnsi="Verdana" w:cs="Verdana"/>
          <w:sz w:val="18"/>
          <w:szCs w:val="18"/>
          <w:bdr w:val="nil"/>
        </w:rPr>
        <w:t>continue as a going concern. If we conclude that a material uncertainty exists, we are required to draw attention in our auditor’s report to the related disclosures in the consolidated financial statements or, if such disclosures are inadequ</w:t>
      </w:r>
      <w:r w:rsidR="00156794" w:rsidRPr="008A5E19">
        <w:rPr>
          <w:rFonts w:ascii="Verdana" w:eastAsia="Verdana" w:hAnsi="Verdana" w:cs="Verdana"/>
          <w:sz w:val="18"/>
          <w:szCs w:val="18"/>
          <w:bdr w:val="nil"/>
        </w:rPr>
        <w:t>ate, to modify our opinion. Our </w:t>
      </w:r>
      <w:r w:rsidRPr="008A5E19">
        <w:rPr>
          <w:rFonts w:ascii="Verdana" w:eastAsia="Verdana" w:hAnsi="Verdana" w:cs="Verdana"/>
          <w:sz w:val="18"/>
          <w:szCs w:val="18"/>
          <w:bdr w:val="nil"/>
        </w:rPr>
        <w:t xml:space="preserve">conclusions </w:t>
      </w:r>
      <w:proofErr w:type="gramStart"/>
      <w:r w:rsidRPr="008A5E19">
        <w:rPr>
          <w:rFonts w:ascii="Verdana" w:eastAsia="Verdana" w:hAnsi="Verdana" w:cs="Verdana"/>
          <w:sz w:val="18"/>
          <w:szCs w:val="18"/>
          <w:bdr w:val="nil"/>
        </w:rPr>
        <w:t>are based</w:t>
      </w:r>
      <w:proofErr w:type="gramEnd"/>
      <w:r w:rsidRPr="008A5E19">
        <w:rPr>
          <w:rFonts w:ascii="Verdana" w:eastAsia="Verdana" w:hAnsi="Verdana" w:cs="Verdana"/>
          <w:sz w:val="18"/>
          <w:szCs w:val="18"/>
          <w:bdr w:val="nil"/>
        </w:rPr>
        <w:t xml:space="preserve"> on the audit evidence obtained up to the date of our auditor’s report. However, future events or conditions may cause the </w:t>
      </w:r>
      <w:r w:rsidR="00156794" w:rsidRPr="008A5E19">
        <w:rPr>
          <w:rFonts w:ascii="Verdana" w:eastAsia="Verdana" w:hAnsi="Verdana" w:cs="Verdana"/>
          <w:sz w:val="18"/>
          <w:szCs w:val="18"/>
          <w:bdr w:val="nil"/>
        </w:rPr>
        <w:t>Group to cease to continue as a </w:t>
      </w:r>
      <w:r w:rsidRPr="008A5E19">
        <w:rPr>
          <w:rFonts w:ascii="Verdana" w:eastAsia="Verdana" w:hAnsi="Verdana" w:cs="Verdana"/>
          <w:sz w:val="18"/>
          <w:szCs w:val="18"/>
          <w:bdr w:val="nil"/>
        </w:rPr>
        <w:t>going concern;</w:t>
      </w:r>
    </w:p>
    <w:p w14:paraId="2E90BD7E" w14:textId="77777777" w:rsidR="00DF4955" w:rsidRPr="008A5E19" w:rsidRDefault="0075087B" w:rsidP="00047580">
      <w:pPr>
        <w:pStyle w:val="ListParagraph"/>
        <w:widowControl w:val="0"/>
        <w:numPr>
          <w:ilvl w:val="0"/>
          <w:numId w:val="6"/>
        </w:numPr>
        <w:spacing w:after="120" w:line="276" w:lineRule="auto"/>
        <w:ind w:left="426" w:hanging="426"/>
        <w:contextualSpacing w:val="0"/>
        <w:jc w:val="both"/>
        <w:rPr>
          <w:rFonts w:ascii="Verdana" w:hAnsi="Verdana"/>
          <w:sz w:val="18"/>
          <w:szCs w:val="18"/>
        </w:rPr>
      </w:pPr>
      <w:r w:rsidRPr="008A5E19">
        <w:rPr>
          <w:rFonts w:ascii="Verdana" w:eastAsia="Verdana" w:hAnsi="Verdana" w:cs="Verdana"/>
          <w:sz w:val="18"/>
          <w:szCs w:val="18"/>
          <w:bdr w:val="nil"/>
        </w:rPr>
        <w:t>evaluate the overall presentation, structure and content of the consolidated financial statements, including the disclosures, and whether the consolidated financial statements represent the underlying transactions and events in a manner that achieves fair presentation;</w:t>
      </w:r>
    </w:p>
    <w:p w14:paraId="01C245AC" w14:textId="77777777" w:rsidR="008A6DB4" w:rsidRPr="008A5E19" w:rsidRDefault="0075087B" w:rsidP="00047580">
      <w:pPr>
        <w:pStyle w:val="ListParagraph"/>
        <w:widowControl w:val="0"/>
        <w:numPr>
          <w:ilvl w:val="0"/>
          <w:numId w:val="6"/>
        </w:numPr>
        <w:spacing w:after="0" w:line="276" w:lineRule="auto"/>
        <w:ind w:left="426" w:hanging="426"/>
        <w:contextualSpacing w:val="0"/>
        <w:jc w:val="both"/>
        <w:rPr>
          <w:rFonts w:ascii="Verdana" w:hAnsi="Verdana"/>
          <w:sz w:val="18"/>
          <w:szCs w:val="18"/>
        </w:rPr>
      </w:pPr>
      <w:proofErr w:type="gramStart"/>
      <w:r w:rsidRPr="008A5E19">
        <w:rPr>
          <w:rFonts w:ascii="Verdana" w:eastAsia="Verdana" w:hAnsi="Verdana" w:cs="Verdana"/>
          <w:sz w:val="18"/>
          <w:szCs w:val="18"/>
          <w:bdr w:val="nil"/>
        </w:rPr>
        <w:t>obtain</w:t>
      </w:r>
      <w:proofErr w:type="gramEnd"/>
      <w:r w:rsidRPr="008A5E19">
        <w:rPr>
          <w:rFonts w:ascii="Verdana" w:eastAsia="Verdana" w:hAnsi="Verdana" w:cs="Verdana"/>
          <w:sz w:val="18"/>
          <w:szCs w:val="18"/>
          <w:bdr w:val="nil"/>
        </w:rPr>
        <w:t xml:space="preserve">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14:paraId="14F79920" w14:textId="77777777" w:rsidR="00047580" w:rsidRPr="008A5E19" w:rsidRDefault="00047580" w:rsidP="00047580">
      <w:pPr>
        <w:widowControl w:val="0"/>
        <w:spacing w:after="0" w:line="276" w:lineRule="auto"/>
        <w:jc w:val="both"/>
        <w:rPr>
          <w:rFonts w:ascii="Verdana" w:eastAsia="Verdana" w:hAnsi="Verdana" w:cs="Verdana"/>
          <w:sz w:val="18"/>
          <w:szCs w:val="18"/>
          <w:bdr w:val="nil"/>
        </w:rPr>
      </w:pPr>
    </w:p>
    <w:p w14:paraId="79BA1898" w14:textId="77777777" w:rsidR="00FF1983"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We communicate with the Parent’s Supervisory Board regarding, among other matters, the planned scope and timing of the audit and significant audit findings, including any signifi</w:t>
      </w:r>
      <w:r w:rsidR="00156794" w:rsidRPr="008A5E19">
        <w:rPr>
          <w:rFonts w:ascii="Verdana" w:eastAsia="Verdana" w:hAnsi="Verdana" w:cs="Verdana"/>
          <w:sz w:val="18"/>
          <w:szCs w:val="18"/>
          <w:bdr w:val="nil"/>
        </w:rPr>
        <w:t>cant deficiencies in </w:t>
      </w:r>
      <w:r w:rsidRPr="008A5E19">
        <w:rPr>
          <w:rFonts w:ascii="Verdana" w:eastAsia="Verdana" w:hAnsi="Verdana" w:cs="Verdana"/>
          <w:sz w:val="18"/>
          <w:szCs w:val="18"/>
          <w:bdr w:val="nil"/>
        </w:rPr>
        <w:t>internal control that we identify during our audit.</w:t>
      </w:r>
    </w:p>
    <w:p w14:paraId="734E8A5C" w14:textId="77777777" w:rsidR="00047580" w:rsidRPr="008A5E19" w:rsidRDefault="00047580" w:rsidP="00047580">
      <w:pPr>
        <w:widowControl w:val="0"/>
        <w:spacing w:after="0" w:line="276" w:lineRule="auto"/>
        <w:jc w:val="both"/>
        <w:rPr>
          <w:rFonts w:ascii="Verdana" w:hAnsi="Verdana"/>
          <w:sz w:val="18"/>
          <w:szCs w:val="18"/>
        </w:rPr>
      </w:pPr>
    </w:p>
    <w:p w14:paraId="271ED11A" w14:textId="77777777" w:rsidR="00FF1983"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We also provide the Parent’s Supervisory Board with a state</w:t>
      </w:r>
      <w:r w:rsidR="00156794" w:rsidRPr="008A5E19">
        <w:rPr>
          <w:rFonts w:ascii="Verdana" w:eastAsia="Verdana" w:hAnsi="Verdana" w:cs="Verdana"/>
          <w:sz w:val="18"/>
          <w:szCs w:val="18"/>
          <w:bdr w:val="nil"/>
        </w:rPr>
        <w:t>ment that we have complied with </w:t>
      </w:r>
      <w:r w:rsidRPr="008A5E19">
        <w:rPr>
          <w:rFonts w:ascii="Verdana" w:eastAsia="Verdana" w:hAnsi="Verdana" w:cs="Verdana"/>
          <w:sz w:val="18"/>
          <w:szCs w:val="18"/>
          <w:bdr w:val="nil"/>
        </w:rPr>
        <w:t>relevant ethical requirements regarding independence, and that we will communicate with it all relationships and other matters that may reasonably be thought t</w:t>
      </w:r>
      <w:r w:rsidR="00156794" w:rsidRPr="008A5E19">
        <w:rPr>
          <w:rFonts w:ascii="Verdana" w:eastAsia="Verdana" w:hAnsi="Verdana" w:cs="Verdana"/>
          <w:sz w:val="18"/>
          <w:szCs w:val="18"/>
          <w:bdr w:val="nil"/>
        </w:rPr>
        <w:t>o bear on our independence, and </w:t>
      </w:r>
      <w:r w:rsidRPr="008A5E19">
        <w:rPr>
          <w:rFonts w:ascii="Verdana" w:eastAsia="Verdana" w:hAnsi="Verdana" w:cs="Verdana"/>
          <w:sz w:val="18"/>
          <w:szCs w:val="18"/>
          <w:bdr w:val="nil"/>
        </w:rPr>
        <w:t>where applicable, related safeguards.</w:t>
      </w:r>
    </w:p>
    <w:p w14:paraId="644898A7" w14:textId="77777777" w:rsidR="00047580" w:rsidRPr="008A5E19" w:rsidRDefault="00047580" w:rsidP="00047580">
      <w:pPr>
        <w:widowControl w:val="0"/>
        <w:spacing w:after="0" w:line="276" w:lineRule="auto"/>
        <w:jc w:val="both"/>
        <w:rPr>
          <w:rFonts w:ascii="Verdana" w:hAnsi="Verdana"/>
          <w:sz w:val="18"/>
          <w:szCs w:val="18"/>
        </w:rPr>
      </w:pPr>
    </w:p>
    <w:p w14:paraId="50152013" w14:textId="77777777" w:rsidR="00CD3544"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 xml:space="preserve">From the matters communicated with the Parent’s Supervisory Board, we determined those matters </w:t>
      </w:r>
      <w:proofErr w:type="gramStart"/>
      <w:r w:rsidRPr="008A5E19">
        <w:rPr>
          <w:rFonts w:ascii="Verdana" w:eastAsia="Verdana" w:hAnsi="Verdana" w:cs="Verdana"/>
          <w:sz w:val="18"/>
          <w:szCs w:val="18"/>
          <w:bdr w:val="nil"/>
        </w:rPr>
        <w:t>that were of most significance in the audit of the consolidated financial statements of the current period and are therefore the key audit matters</w:t>
      </w:r>
      <w:proofErr w:type="gramEnd"/>
      <w:r w:rsidRPr="008A5E19">
        <w:rPr>
          <w:rFonts w:ascii="Verdana" w:eastAsia="Verdana" w:hAnsi="Verdana" w:cs="Verdana"/>
          <w:sz w:val="18"/>
          <w:szCs w:val="18"/>
          <w:bdr w:val="nil"/>
        </w:rPr>
        <w:t xml:space="preserve">. We describe these matters in our auditor’s report unless law or regulation precludes public disclosure about the matter or when, in extremely rare circumstances, we determine that a matter </w:t>
      </w:r>
      <w:proofErr w:type="gramStart"/>
      <w:r w:rsidRPr="008A5E19">
        <w:rPr>
          <w:rFonts w:ascii="Verdana" w:eastAsia="Verdana" w:hAnsi="Verdana" w:cs="Verdana"/>
          <w:sz w:val="18"/>
          <w:szCs w:val="18"/>
          <w:bdr w:val="nil"/>
        </w:rPr>
        <w:t>should not be communicated</w:t>
      </w:r>
      <w:proofErr w:type="gramEnd"/>
      <w:r w:rsidRPr="008A5E19">
        <w:rPr>
          <w:rFonts w:ascii="Verdana" w:eastAsia="Verdana" w:hAnsi="Verdana" w:cs="Verdana"/>
          <w:sz w:val="18"/>
          <w:szCs w:val="18"/>
          <w:bdr w:val="nil"/>
        </w:rPr>
        <w:t xml:space="preserve"> in our report because the</w:t>
      </w:r>
      <w:r w:rsidR="00156794" w:rsidRPr="008A5E19">
        <w:rPr>
          <w:rFonts w:ascii="Verdana" w:eastAsia="Verdana" w:hAnsi="Verdana" w:cs="Verdana"/>
          <w:sz w:val="18"/>
          <w:szCs w:val="18"/>
          <w:bdr w:val="nil"/>
        </w:rPr>
        <w:t> </w:t>
      </w:r>
      <w:r w:rsidRPr="008A5E19">
        <w:rPr>
          <w:rFonts w:ascii="Verdana" w:eastAsia="Verdana" w:hAnsi="Verdana" w:cs="Verdana"/>
          <w:sz w:val="18"/>
          <w:szCs w:val="18"/>
          <w:bdr w:val="nil"/>
        </w:rPr>
        <w:t>adverse consequences of doing so would reasonably be expected to outweigh the public interest benefits of such communication.</w:t>
      </w:r>
    </w:p>
    <w:p w14:paraId="557C57D6" w14:textId="77777777" w:rsidR="00047580" w:rsidRPr="008A5E19" w:rsidRDefault="00047580" w:rsidP="00047580">
      <w:pPr>
        <w:widowControl w:val="0"/>
        <w:spacing w:after="0" w:line="276" w:lineRule="auto"/>
        <w:jc w:val="both"/>
        <w:rPr>
          <w:rFonts w:ascii="Verdana" w:hAnsi="Verdana"/>
          <w:sz w:val="18"/>
          <w:szCs w:val="18"/>
        </w:rPr>
      </w:pPr>
    </w:p>
    <w:p w14:paraId="1E428BE7" w14:textId="25EB09FC" w:rsidR="00DF4955" w:rsidRPr="008A5E19" w:rsidRDefault="0075087B" w:rsidP="00047580">
      <w:pPr>
        <w:widowControl w:val="0"/>
        <w:spacing w:after="120" w:line="276" w:lineRule="auto"/>
        <w:jc w:val="both"/>
        <w:outlineLvl w:val="3"/>
        <w:rPr>
          <w:rFonts w:ascii="Verdana" w:hAnsi="Verdana"/>
          <w:b/>
          <w:szCs w:val="20"/>
        </w:rPr>
      </w:pPr>
      <w:r w:rsidRPr="008A5E19">
        <w:rPr>
          <w:rFonts w:ascii="Verdana" w:eastAsia="Verdana" w:hAnsi="Verdana" w:cs="Verdana"/>
          <w:b/>
          <w:bCs/>
          <w:sz w:val="18"/>
          <w:szCs w:val="18"/>
          <w:bdr w:val="nil"/>
        </w:rPr>
        <w:t>Other Information, Including the Report on the Activities</w:t>
      </w:r>
      <w:r w:rsidRPr="008A5E19">
        <w:rPr>
          <w:rFonts w:ascii="Verdana" w:eastAsia="Verdana" w:hAnsi="Verdana" w:cs="Verdana"/>
          <w:b/>
          <w:bCs/>
          <w:szCs w:val="20"/>
          <w:bdr w:val="nil"/>
        </w:rPr>
        <w:t xml:space="preserve"> </w:t>
      </w:r>
    </w:p>
    <w:p w14:paraId="79FDEA9E" w14:textId="377932A6"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Other information includes a report on the Group’s activities in the financial year ended December 31, 201</w:t>
      </w:r>
      <w:r w:rsidR="005F46BA" w:rsidRPr="008A5E19">
        <w:rPr>
          <w:rFonts w:ascii="Verdana" w:eastAsia="Verdana" w:hAnsi="Verdana" w:cs="Verdana"/>
          <w:sz w:val="18"/>
          <w:szCs w:val="18"/>
          <w:bdr w:val="nil"/>
        </w:rPr>
        <w:t>9</w:t>
      </w:r>
      <w:r w:rsidRPr="008A5E19">
        <w:rPr>
          <w:rFonts w:ascii="Verdana" w:eastAsia="Verdana" w:hAnsi="Verdana" w:cs="Verdana"/>
          <w:sz w:val="18"/>
          <w:szCs w:val="18"/>
          <w:bdr w:val="nil"/>
        </w:rPr>
        <w:t xml:space="preserve"> (the “Report on the Activities”), together with a statement of compliance with corporate governance principles and a non-financial information statement, as </w:t>
      </w:r>
      <w:r w:rsidR="00156794" w:rsidRPr="008A5E19">
        <w:rPr>
          <w:rFonts w:ascii="Verdana" w:eastAsia="Verdana" w:hAnsi="Verdana" w:cs="Verdana"/>
          <w:sz w:val="18"/>
          <w:szCs w:val="18"/>
          <w:bdr w:val="nil"/>
        </w:rPr>
        <w:t>referred to in Article 49b.1 of </w:t>
      </w:r>
      <w:r w:rsidRPr="008A5E19">
        <w:rPr>
          <w:rFonts w:ascii="Verdana" w:eastAsia="Verdana" w:hAnsi="Verdana" w:cs="Verdana"/>
          <w:sz w:val="18"/>
          <w:szCs w:val="18"/>
          <w:bdr w:val="nil"/>
        </w:rPr>
        <w:t>the Accounting Act, which constitute separate parts of the Report (together: the “Other Information”).</w:t>
      </w:r>
    </w:p>
    <w:p w14:paraId="1D1E971A" w14:textId="77777777" w:rsidR="00047580" w:rsidRPr="008A5E19" w:rsidRDefault="00047580" w:rsidP="00047580">
      <w:pPr>
        <w:widowControl w:val="0"/>
        <w:spacing w:after="0" w:line="276" w:lineRule="auto"/>
        <w:jc w:val="both"/>
        <w:rPr>
          <w:rFonts w:ascii="Verdana" w:hAnsi="Verdana"/>
          <w:sz w:val="18"/>
          <w:szCs w:val="18"/>
        </w:rPr>
      </w:pPr>
    </w:p>
    <w:p w14:paraId="399782E8" w14:textId="77777777" w:rsidR="00DF4955" w:rsidRPr="008A5E19" w:rsidRDefault="0075087B" w:rsidP="00047580">
      <w:pPr>
        <w:widowControl w:val="0"/>
        <w:spacing w:after="120" w:line="276" w:lineRule="auto"/>
        <w:jc w:val="both"/>
        <w:rPr>
          <w:rFonts w:ascii="Verdana" w:hAnsi="Verdana"/>
          <w:i/>
          <w:sz w:val="18"/>
          <w:szCs w:val="18"/>
        </w:rPr>
      </w:pPr>
      <w:r w:rsidRPr="008A5E19">
        <w:rPr>
          <w:rFonts w:ascii="Verdana" w:eastAsia="Verdana" w:hAnsi="Verdana" w:cs="Verdana"/>
          <w:i/>
          <w:iCs/>
          <w:sz w:val="18"/>
          <w:szCs w:val="18"/>
          <w:bdr w:val="nil"/>
        </w:rPr>
        <w:t>Responsibilities of the Management Board and the Supervisory Board</w:t>
      </w:r>
    </w:p>
    <w:p w14:paraId="0485DC8C" w14:textId="665E5DA8"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The Parent’s Management Board is responsible for the preparation of the Other Information</w:t>
      </w:r>
      <w:r w:rsidR="00D975CF" w:rsidRPr="008A5E19">
        <w:rPr>
          <w:rFonts w:ascii="Verdana" w:eastAsia="Verdana" w:hAnsi="Verdana" w:cs="Verdana"/>
          <w:sz w:val="18"/>
          <w:szCs w:val="18"/>
          <w:bdr w:val="nil"/>
        </w:rPr>
        <w:br/>
      </w:r>
      <w:r w:rsidRPr="008A5E19">
        <w:rPr>
          <w:rFonts w:ascii="Verdana" w:eastAsia="Verdana" w:hAnsi="Verdana" w:cs="Verdana"/>
          <w:sz w:val="18"/>
          <w:szCs w:val="18"/>
          <w:bdr w:val="nil"/>
        </w:rPr>
        <w:t>in accord</w:t>
      </w:r>
      <w:r w:rsidR="00D975CF" w:rsidRPr="008A5E19">
        <w:rPr>
          <w:rFonts w:ascii="Verdana" w:eastAsia="Verdana" w:hAnsi="Verdana" w:cs="Verdana"/>
          <w:sz w:val="18"/>
          <w:szCs w:val="18"/>
          <w:bdr w:val="nil"/>
        </w:rPr>
        <w:t>ance with the applicable laws.</w:t>
      </w:r>
    </w:p>
    <w:p w14:paraId="1E6A874E" w14:textId="77777777" w:rsidR="00047580" w:rsidRPr="008A5E19" w:rsidRDefault="00047580" w:rsidP="00047580">
      <w:pPr>
        <w:widowControl w:val="0"/>
        <w:spacing w:after="0" w:line="276" w:lineRule="auto"/>
        <w:jc w:val="both"/>
        <w:rPr>
          <w:rFonts w:ascii="Verdana" w:hAnsi="Verdana"/>
          <w:sz w:val="18"/>
          <w:szCs w:val="18"/>
        </w:rPr>
      </w:pPr>
    </w:p>
    <w:p w14:paraId="77D587C2" w14:textId="0CFB34A8"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The Management Board and members of the Supervisory Board</w:t>
      </w:r>
      <w:r w:rsidRPr="008A5E19">
        <w:rPr>
          <w:rFonts w:ascii="Verdana" w:eastAsia="Times New Roman" w:hAnsi="Verdana"/>
          <w:sz w:val="18"/>
          <w:szCs w:val="18"/>
          <w:bdr w:val="nil"/>
        </w:rPr>
        <w:t xml:space="preserve"> </w:t>
      </w:r>
      <w:r w:rsidRPr="008A5E19">
        <w:rPr>
          <w:rFonts w:ascii="Verdana" w:eastAsia="Verdana" w:hAnsi="Verdana" w:cs="Verdana"/>
          <w:sz w:val="18"/>
          <w:szCs w:val="18"/>
          <w:bdr w:val="nil"/>
        </w:rPr>
        <w:t>of the Parent</w:t>
      </w:r>
      <w:r w:rsidRPr="008A5E19">
        <w:rPr>
          <w:rFonts w:ascii="Verdana" w:eastAsia="Times New Roman" w:hAnsi="Verdana"/>
          <w:sz w:val="18"/>
          <w:szCs w:val="18"/>
          <w:bdr w:val="nil"/>
        </w:rPr>
        <w:t xml:space="preserve"> </w:t>
      </w:r>
      <w:r w:rsidRPr="008A5E19">
        <w:rPr>
          <w:rFonts w:ascii="Verdana" w:eastAsia="Verdana" w:hAnsi="Verdana" w:cs="Verdana"/>
          <w:sz w:val="18"/>
          <w:szCs w:val="18"/>
          <w:bdr w:val="nil"/>
        </w:rPr>
        <w:t xml:space="preserve">are obliged </w:t>
      </w:r>
      <w:r w:rsidR="00D975CF" w:rsidRPr="008A5E19">
        <w:rPr>
          <w:rFonts w:ascii="Verdana" w:eastAsia="Verdana" w:hAnsi="Verdana" w:cs="Verdana"/>
          <w:sz w:val="18"/>
          <w:szCs w:val="18"/>
          <w:bdr w:val="nil"/>
        </w:rPr>
        <w:t>to </w:t>
      </w:r>
      <w:r w:rsidRPr="008A5E19">
        <w:rPr>
          <w:rFonts w:ascii="Verdana" w:eastAsia="Verdana" w:hAnsi="Verdana" w:cs="Verdana"/>
          <w:sz w:val="18"/>
          <w:szCs w:val="18"/>
          <w:bdr w:val="nil"/>
        </w:rPr>
        <w:t>ensure that the Report on the Activities, along with the separate parts</w:t>
      </w:r>
      <w:r w:rsidRPr="008A5E19">
        <w:rPr>
          <w:rFonts w:ascii="Verdana" w:eastAsia="Times New Roman" w:hAnsi="Verdana"/>
          <w:sz w:val="18"/>
          <w:szCs w:val="18"/>
          <w:bdr w:val="nil"/>
        </w:rPr>
        <w:t xml:space="preserve">, </w:t>
      </w:r>
      <w:r w:rsidR="00D975CF" w:rsidRPr="008A5E19">
        <w:rPr>
          <w:rFonts w:ascii="Verdana" w:eastAsia="Verdana" w:hAnsi="Verdana" w:cs="Verdana"/>
          <w:sz w:val="18"/>
          <w:szCs w:val="18"/>
          <w:bdr w:val="nil"/>
        </w:rPr>
        <w:t>meet the requirements of the</w:t>
      </w:r>
      <w:r w:rsidR="00331A6D" w:rsidRPr="008A5E19">
        <w:rPr>
          <w:rFonts w:ascii="Verdana" w:eastAsia="Verdana" w:hAnsi="Verdana" w:cs="Verdana"/>
          <w:sz w:val="18"/>
          <w:szCs w:val="18"/>
          <w:bdr w:val="nil"/>
        </w:rPr>
        <w:t> </w:t>
      </w:r>
      <w:r w:rsidR="00D975CF" w:rsidRPr="008A5E19">
        <w:rPr>
          <w:rFonts w:ascii="Verdana" w:eastAsia="Verdana" w:hAnsi="Verdana" w:cs="Verdana"/>
          <w:sz w:val="18"/>
          <w:szCs w:val="18"/>
          <w:bdr w:val="nil"/>
        </w:rPr>
        <w:t>Accounting Act.</w:t>
      </w:r>
    </w:p>
    <w:p w14:paraId="55C6282B" w14:textId="77777777" w:rsidR="00047580" w:rsidRPr="008A5E19" w:rsidRDefault="00047580" w:rsidP="00047580">
      <w:pPr>
        <w:widowControl w:val="0"/>
        <w:spacing w:after="0" w:line="276" w:lineRule="auto"/>
        <w:jc w:val="both"/>
        <w:rPr>
          <w:rFonts w:ascii="Verdana" w:hAnsi="Verdana"/>
          <w:sz w:val="18"/>
          <w:szCs w:val="18"/>
        </w:rPr>
      </w:pPr>
    </w:p>
    <w:p w14:paraId="2DFFDBDA" w14:textId="77777777" w:rsidR="00DF4955" w:rsidRPr="008A5E19" w:rsidRDefault="0075087B" w:rsidP="00047580">
      <w:pPr>
        <w:widowControl w:val="0"/>
        <w:spacing w:after="120" w:line="276" w:lineRule="auto"/>
        <w:jc w:val="both"/>
        <w:rPr>
          <w:rFonts w:ascii="Verdana" w:hAnsi="Verdana"/>
          <w:i/>
          <w:sz w:val="18"/>
          <w:szCs w:val="18"/>
        </w:rPr>
      </w:pPr>
      <w:r w:rsidRPr="008A5E19">
        <w:rPr>
          <w:rFonts w:ascii="Verdana" w:eastAsia="Verdana" w:hAnsi="Verdana" w:cs="Verdana"/>
          <w:i/>
          <w:iCs/>
          <w:sz w:val="18"/>
          <w:szCs w:val="18"/>
          <w:bdr w:val="nil"/>
        </w:rPr>
        <w:t>Auditor’s Responsibilities</w:t>
      </w:r>
    </w:p>
    <w:p w14:paraId="4BA2190E" w14:textId="5F800233" w:rsidR="00415361" w:rsidRPr="008A5E19" w:rsidRDefault="0075087B" w:rsidP="00047580">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rPr>
        <w:t xml:space="preserve">Our opinion on the consolidated financial statements does not cover the Other Information. In connection with our audit of the consolidated financial statements, our responsibility is to read the Other Information and, in doing so, consider whether the Other Information </w:t>
      </w:r>
      <w:r w:rsidR="00420E49" w:rsidRPr="008A5E19">
        <w:rPr>
          <w:rFonts w:ascii="Verdana" w:eastAsia="Verdana" w:hAnsi="Verdana" w:cs="Verdana"/>
          <w:sz w:val="18"/>
          <w:szCs w:val="18"/>
          <w:bdr w:val="nil"/>
        </w:rPr>
        <w:t>is materially inconsistent with </w:t>
      </w:r>
      <w:r w:rsidRPr="008A5E19">
        <w:rPr>
          <w:rFonts w:ascii="Verdana" w:eastAsia="Verdana" w:hAnsi="Verdana" w:cs="Verdana"/>
          <w:sz w:val="18"/>
          <w:szCs w:val="18"/>
          <w:bdr w:val="nil"/>
        </w:rPr>
        <w:t>t</w:t>
      </w:r>
      <w:r w:rsidR="00420E49" w:rsidRPr="008A5E19">
        <w:rPr>
          <w:rFonts w:ascii="Verdana" w:eastAsia="Verdana" w:hAnsi="Verdana" w:cs="Verdana"/>
          <w:sz w:val="18"/>
          <w:szCs w:val="18"/>
          <w:bdr w:val="nil"/>
        </w:rPr>
        <w:t>he </w:t>
      </w:r>
      <w:r w:rsidRPr="008A5E19">
        <w:rPr>
          <w:rFonts w:ascii="Verdana" w:eastAsia="Verdana" w:hAnsi="Verdana" w:cs="Verdana"/>
          <w:sz w:val="18"/>
          <w:szCs w:val="18"/>
          <w:bdr w:val="nil"/>
        </w:rPr>
        <w:t xml:space="preserve">consolidated financial statements or our knowledge obtained in the audit or otherwise appears to be materially misstated. If, based on the work we have performed, we conclude that there is a material misstatement of this Other </w:t>
      </w:r>
      <w:proofErr w:type="gramStart"/>
      <w:r w:rsidRPr="008A5E19">
        <w:rPr>
          <w:rFonts w:ascii="Verdana" w:eastAsia="Verdana" w:hAnsi="Verdana" w:cs="Verdana"/>
          <w:sz w:val="18"/>
          <w:szCs w:val="18"/>
          <w:bdr w:val="nil"/>
        </w:rPr>
        <w:t>Information,</w:t>
      </w:r>
      <w:proofErr w:type="gramEnd"/>
      <w:r w:rsidRPr="008A5E19">
        <w:rPr>
          <w:rFonts w:ascii="Verdana" w:eastAsia="Verdana" w:hAnsi="Verdana" w:cs="Verdana"/>
          <w:sz w:val="18"/>
          <w:szCs w:val="18"/>
          <w:bdr w:val="nil"/>
        </w:rPr>
        <w:t xml:space="preserve"> we are required to report that fact in our auditor’s report. Additionally, under the Act on Statutory Auditors we are obliged to express an opinion on whether the Report on the </w:t>
      </w:r>
      <w:r w:rsidR="00420E49" w:rsidRPr="008A5E19">
        <w:rPr>
          <w:rFonts w:ascii="Verdana" w:eastAsia="Verdana" w:hAnsi="Verdana" w:cs="Verdana"/>
          <w:sz w:val="18"/>
          <w:szCs w:val="18"/>
          <w:bdr w:val="nil"/>
        </w:rPr>
        <w:t>Activities has been prepared in </w:t>
      </w:r>
      <w:r w:rsidRPr="008A5E19">
        <w:rPr>
          <w:rFonts w:ascii="Verdana" w:eastAsia="Verdana" w:hAnsi="Verdana" w:cs="Verdana"/>
          <w:sz w:val="18"/>
          <w:szCs w:val="18"/>
          <w:bdr w:val="nil"/>
        </w:rPr>
        <w:t xml:space="preserve">accordance with </w:t>
      </w:r>
      <w:proofErr w:type="gramStart"/>
      <w:r w:rsidRPr="008A5E19">
        <w:rPr>
          <w:rFonts w:ascii="Verdana" w:eastAsia="Verdana" w:hAnsi="Verdana" w:cs="Verdana"/>
          <w:sz w:val="18"/>
          <w:szCs w:val="18"/>
          <w:bdr w:val="nil"/>
        </w:rPr>
        <w:t>the applicable laws and whether it is consistent with the information contained in the consolidated financial statements</w:t>
      </w:r>
      <w:proofErr w:type="gramEnd"/>
      <w:r w:rsidRPr="008A5E19">
        <w:rPr>
          <w:rFonts w:ascii="Verdana" w:eastAsia="Verdana" w:hAnsi="Verdana" w:cs="Verdana"/>
          <w:sz w:val="18"/>
          <w:szCs w:val="18"/>
          <w:bdr w:val="nil"/>
        </w:rPr>
        <w:t xml:space="preserve">. Furthermore, we are obliged to state whether </w:t>
      </w:r>
      <w:proofErr w:type="gramStart"/>
      <w:r w:rsidRPr="008A5E19">
        <w:rPr>
          <w:rFonts w:ascii="Verdana" w:eastAsia="Verdana" w:hAnsi="Verdana" w:cs="Verdana"/>
          <w:sz w:val="18"/>
          <w:szCs w:val="18"/>
          <w:bdr w:val="nil"/>
        </w:rPr>
        <w:t>a non-financial information statement has been prepared by the Group</w:t>
      </w:r>
      <w:proofErr w:type="gramEnd"/>
      <w:r w:rsidRPr="008A5E19">
        <w:rPr>
          <w:rFonts w:ascii="Verdana" w:eastAsia="Verdana" w:hAnsi="Verdana" w:cs="Verdana"/>
          <w:sz w:val="18"/>
          <w:szCs w:val="18"/>
          <w:bdr w:val="nil"/>
        </w:rPr>
        <w:t xml:space="preserve"> and to express an opinion on whether the Group has included the necessary information in the statement of compliance with corporate governance principles.</w:t>
      </w:r>
    </w:p>
    <w:p w14:paraId="24A80647" w14:textId="77777777" w:rsidR="00331A6D" w:rsidRPr="008A5E19" w:rsidRDefault="00331A6D" w:rsidP="00047580">
      <w:pPr>
        <w:widowControl w:val="0"/>
        <w:spacing w:after="0" w:line="276" w:lineRule="auto"/>
        <w:jc w:val="both"/>
        <w:rPr>
          <w:rFonts w:ascii="Verdana" w:eastAsia="Verdana" w:hAnsi="Verdana" w:cs="Verdana"/>
          <w:sz w:val="18"/>
          <w:szCs w:val="18"/>
          <w:bdr w:val="nil"/>
        </w:rPr>
      </w:pPr>
    </w:p>
    <w:p w14:paraId="3C62A55D" w14:textId="77777777" w:rsidR="007A5762" w:rsidRPr="008A5E19" w:rsidRDefault="00E01A61" w:rsidP="00047580">
      <w:pPr>
        <w:widowControl w:val="0"/>
        <w:spacing w:after="0" w:line="276" w:lineRule="auto"/>
        <w:jc w:val="both"/>
        <w:rPr>
          <w:rFonts w:ascii="Verdana" w:hAnsi="Verdana"/>
          <w:sz w:val="18"/>
          <w:szCs w:val="18"/>
        </w:rPr>
      </w:pPr>
    </w:p>
    <w:p w14:paraId="2F6EA6C5" w14:textId="5786762D" w:rsidR="00DF4955" w:rsidRPr="008A5E19" w:rsidRDefault="0075087B" w:rsidP="00047580">
      <w:pPr>
        <w:widowControl w:val="0"/>
        <w:spacing w:after="120" w:line="276" w:lineRule="auto"/>
        <w:rPr>
          <w:rFonts w:ascii="Verdana" w:hAnsi="Verdana"/>
          <w:b/>
          <w:sz w:val="18"/>
          <w:szCs w:val="18"/>
        </w:rPr>
      </w:pPr>
      <w:r w:rsidRPr="008A5E19">
        <w:rPr>
          <w:rFonts w:ascii="Verdana" w:eastAsia="Verdana" w:hAnsi="Verdana" w:cs="Verdana"/>
          <w:b/>
          <w:bCs/>
          <w:sz w:val="18"/>
          <w:szCs w:val="18"/>
          <w:bdr w:val="nil"/>
        </w:rPr>
        <w:t>Opinion on the Report on the Activities</w:t>
      </w:r>
    </w:p>
    <w:p w14:paraId="4300A011" w14:textId="77777777" w:rsidR="00DF4955" w:rsidRPr="008A5E19" w:rsidRDefault="0075087B" w:rsidP="00047580">
      <w:pPr>
        <w:widowControl w:val="0"/>
        <w:spacing w:after="120" w:line="276" w:lineRule="auto"/>
        <w:jc w:val="both"/>
        <w:rPr>
          <w:rFonts w:ascii="Verdana" w:hAnsi="Verdana"/>
          <w:sz w:val="18"/>
          <w:szCs w:val="18"/>
        </w:rPr>
      </w:pPr>
      <w:r w:rsidRPr="008A5E19">
        <w:rPr>
          <w:rFonts w:ascii="Verdana" w:eastAsia="Verdana" w:hAnsi="Verdana" w:cs="Verdana"/>
          <w:sz w:val="18"/>
          <w:szCs w:val="18"/>
          <w:bdr w:val="nil"/>
        </w:rPr>
        <w:t>Based on our work performed during the audit, we are of the</w:t>
      </w:r>
      <w:r w:rsidR="00420E49" w:rsidRPr="008A5E19">
        <w:rPr>
          <w:rFonts w:ascii="Verdana" w:eastAsia="Verdana" w:hAnsi="Verdana" w:cs="Verdana"/>
          <w:sz w:val="18"/>
          <w:szCs w:val="18"/>
          <w:bdr w:val="nil"/>
        </w:rPr>
        <w:t xml:space="preserve"> opinion that the Report on the Activities:</w:t>
      </w:r>
    </w:p>
    <w:p w14:paraId="0A09977A" w14:textId="30B07D41" w:rsidR="00DF4955" w:rsidRPr="008A5E19" w:rsidRDefault="0075087B" w:rsidP="00047580">
      <w:pPr>
        <w:pStyle w:val="ListParagraph"/>
        <w:widowControl w:val="0"/>
        <w:numPr>
          <w:ilvl w:val="0"/>
          <w:numId w:val="7"/>
        </w:numPr>
        <w:spacing w:after="120" w:line="276" w:lineRule="auto"/>
        <w:ind w:left="426" w:hanging="426"/>
        <w:contextualSpacing w:val="0"/>
        <w:jc w:val="both"/>
        <w:rPr>
          <w:rFonts w:ascii="Verdana" w:hAnsi="Verdana"/>
          <w:sz w:val="18"/>
          <w:szCs w:val="18"/>
        </w:rPr>
      </w:pPr>
      <w:r w:rsidRPr="008A5E19">
        <w:rPr>
          <w:rFonts w:ascii="Verdana" w:eastAsia="Verdana" w:hAnsi="Verdana" w:cs="Verdana"/>
          <w:sz w:val="18"/>
          <w:szCs w:val="18"/>
          <w:bdr w:val="nil"/>
        </w:rPr>
        <w:t>has been prepared in accordance with Article 49 of the Accounting Act and par. 71 of the Regula</w:t>
      </w:r>
      <w:r w:rsidR="00420E49" w:rsidRPr="008A5E19">
        <w:rPr>
          <w:rFonts w:ascii="Verdana" w:eastAsia="Verdana" w:hAnsi="Verdana" w:cs="Verdana"/>
          <w:sz w:val="18"/>
          <w:szCs w:val="18"/>
          <w:bdr w:val="nil"/>
        </w:rPr>
        <w:t xml:space="preserve">tion of the Minister of Finance </w:t>
      </w:r>
      <w:r w:rsidRPr="008A5E19">
        <w:rPr>
          <w:rFonts w:ascii="Verdana" w:eastAsia="Verdana" w:hAnsi="Verdana" w:cs="Verdana"/>
          <w:sz w:val="18"/>
          <w:szCs w:val="18"/>
          <w:bdr w:val="nil"/>
        </w:rPr>
        <w:t xml:space="preserve">of 29 March 2018 on current and periodic information published by issuers of </w:t>
      </w:r>
      <w:proofErr w:type="spellStart"/>
      <w:r w:rsidRPr="008A5E19">
        <w:rPr>
          <w:rFonts w:ascii="Verdana" w:eastAsia="Verdana" w:hAnsi="Verdana" w:cs="Verdana"/>
          <w:sz w:val="18"/>
          <w:szCs w:val="18"/>
          <w:bdr w:val="nil"/>
        </w:rPr>
        <w:t>securitiesand</w:t>
      </w:r>
      <w:proofErr w:type="spellEnd"/>
      <w:r w:rsidR="00420E49" w:rsidRPr="008A5E19">
        <w:rPr>
          <w:rFonts w:ascii="Verdana" w:eastAsia="Verdana" w:hAnsi="Verdana" w:cs="Verdana"/>
          <w:sz w:val="18"/>
          <w:szCs w:val="18"/>
          <w:bdr w:val="nil"/>
        </w:rPr>
        <w:t> </w:t>
      </w:r>
      <w:r w:rsidRPr="008A5E19">
        <w:rPr>
          <w:rFonts w:ascii="Verdana" w:eastAsia="Verdana" w:hAnsi="Verdana" w:cs="Verdana"/>
          <w:sz w:val="18"/>
          <w:szCs w:val="18"/>
          <w:bdr w:val="nil"/>
        </w:rPr>
        <w:t>the rules of equal treatment of the information required by the laws of non-member states (the “Current Information Regulation”, Journal of Laws of 2018, item 757);</w:t>
      </w:r>
    </w:p>
    <w:p w14:paraId="2D04DAFE" w14:textId="77777777" w:rsidR="00C204F6" w:rsidRPr="008A5E19" w:rsidRDefault="0075087B" w:rsidP="00047580">
      <w:pPr>
        <w:pStyle w:val="ListParagraph"/>
        <w:widowControl w:val="0"/>
        <w:numPr>
          <w:ilvl w:val="0"/>
          <w:numId w:val="7"/>
        </w:numPr>
        <w:spacing w:after="0" w:line="276" w:lineRule="auto"/>
        <w:ind w:left="426" w:hanging="426"/>
        <w:jc w:val="both"/>
        <w:rPr>
          <w:rFonts w:ascii="Verdana" w:hAnsi="Verdana"/>
          <w:sz w:val="18"/>
          <w:szCs w:val="18"/>
        </w:rPr>
      </w:pPr>
      <w:proofErr w:type="gramStart"/>
      <w:r w:rsidRPr="008A5E19">
        <w:rPr>
          <w:rFonts w:ascii="Verdana" w:eastAsia="Verdana" w:hAnsi="Verdana" w:cs="Verdana"/>
          <w:sz w:val="18"/>
          <w:szCs w:val="18"/>
          <w:bdr w:val="nil"/>
        </w:rPr>
        <w:t>is</w:t>
      </w:r>
      <w:proofErr w:type="gramEnd"/>
      <w:r w:rsidRPr="008A5E19">
        <w:rPr>
          <w:rFonts w:ascii="Verdana" w:eastAsia="Verdana" w:hAnsi="Verdana" w:cs="Verdana"/>
          <w:sz w:val="18"/>
          <w:szCs w:val="18"/>
          <w:bdr w:val="nil"/>
        </w:rPr>
        <w:t xml:space="preserve"> consistent with the information contained in the consolidated financial statements.</w:t>
      </w:r>
    </w:p>
    <w:p w14:paraId="2E521A8A" w14:textId="77777777" w:rsidR="00047580" w:rsidRPr="008A5E19" w:rsidRDefault="00047580" w:rsidP="00047580">
      <w:pPr>
        <w:widowControl w:val="0"/>
        <w:spacing w:after="0" w:line="276" w:lineRule="auto"/>
        <w:jc w:val="both"/>
        <w:rPr>
          <w:rFonts w:ascii="Verdana" w:eastAsia="Verdana" w:hAnsi="Verdana" w:cs="Verdana"/>
          <w:sz w:val="18"/>
          <w:szCs w:val="18"/>
          <w:bdr w:val="nil"/>
        </w:rPr>
      </w:pPr>
    </w:p>
    <w:p w14:paraId="1ED0F8ED" w14:textId="77777777" w:rsidR="00DF4955"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Furthermore, in the light of the knowledge and understanding of the Group and its environment obtained in the course of the audit, we have not identified any material misstatements of the Report on the Activities.</w:t>
      </w:r>
    </w:p>
    <w:p w14:paraId="51EA58F0" w14:textId="77777777" w:rsidR="00047580" w:rsidRPr="008A5E19" w:rsidRDefault="00047580" w:rsidP="00047580">
      <w:pPr>
        <w:widowControl w:val="0"/>
        <w:spacing w:after="0" w:line="276" w:lineRule="auto"/>
        <w:jc w:val="both"/>
        <w:rPr>
          <w:rFonts w:ascii="Verdana" w:hAnsi="Verdana"/>
          <w:sz w:val="18"/>
          <w:szCs w:val="18"/>
        </w:rPr>
      </w:pPr>
    </w:p>
    <w:p w14:paraId="2662DBE9" w14:textId="7DC1FC7A" w:rsidR="007A5762" w:rsidRPr="008A5E19" w:rsidRDefault="0075087B" w:rsidP="00047580">
      <w:pPr>
        <w:widowControl w:val="0"/>
        <w:spacing w:after="120" w:line="276" w:lineRule="auto"/>
        <w:jc w:val="both"/>
        <w:outlineLvl w:val="3"/>
        <w:rPr>
          <w:rFonts w:ascii="Verdana" w:hAnsi="Verdana"/>
          <w:b/>
          <w:sz w:val="18"/>
          <w:szCs w:val="18"/>
        </w:rPr>
      </w:pPr>
      <w:r w:rsidRPr="008A5E19">
        <w:rPr>
          <w:rFonts w:ascii="Verdana" w:eastAsia="Verdana" w:hAnsi="Verdana" w:cs="Verdana"/>
          <w:b/>
          <w:bCs/>
          <w:sz w:val="18"/>
          <w:szCs w:val="18"/>
          <w:bdr w:val="nil"/>
        </w:rPr>
        <w:t>Opinion on the Statement of Compliance with Corporate Governance Principles</w:t>
      </w:r>
      <w:r w:rsidR="00A41DD0" w:rsidRPr="008A5E19">
        <w:rPr>
          <w:rFonts w:ascii="Verdana" w:eastAsia="Verdana" w:hAnsi="Verdana" w:cs="Verdana"/>
          <w:b/>
          <w:bCs/>
          <w:sz w:val="18"/>
          <w:szCs w:val="18"/>
          <w:bdr w:val="nil"/>
        </w:rPr>
        <w:t xml:space="preserve"> </w:t>
      </w:r>
    </w:p>
    <w:p w14:paraId="399B42A0" w14:textId="77777777" w:rsidR="007A5762"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In our opinion, the statement of compliance with corporate gove</w:t>
      </w:r>
      <w:r w:rsidR="00420E49" w:rsidRPr="008A5E19">
        <w:rPr>
          <w:rFonts w:ascii="Verdana" w:eastAsia="Verdana" w:hAnsi="Verdana" w:cs="Verdana"/>
          <w:sz w:val="18"/>
          <w:szCs w:val="18"/>
          <w:bdr w:val="nil"/>
        </w:rPr>
        <w:t>rnance principles contains the </w:t>
      </w:r>
      <w:r w:rsidRPr="008A5E19">
        <w:rPr>
          <w:rFonts w:ascii="Verdana" w:eastAsia="Verdana" w:hAnsi="Verdana" w:cs="Verdana"/>
          <w:sz w:val="18"/>
          <w:szCs w:val="18"/>
          <w:bdr w:val="nil"/>
        </w:rPr>
        <w:t>information referred to in par. 70.6.5 of the Current Information</w:t>
      </w:r>
      <w:r w:rsidR="00420E49" w:rsidRPr="008A5E19">
        <w:rPr>
          <w:rFonts w:ascii="Verdana" w:eastAsia="Verdana" w:hAnsi="Verdana" w:cs="Verdana"/>
          <w:sz w:val="18"/>
          <w:szCs w:val="18"/>
          <w:bdr w:val="nil"/>
        </w:rPr>
        <w:t xml:space="preserve"> Regulation. We are also of the </w:t>
      </w:r>
      <w:r w:rsidRPr="008A5E19">
        <w:rPr>
          <w:rFonts w:ascii="Verdana" w:eastAsia="Verdana" w:hAnsi="Verdana" w:cs="Verdana"/>
          <w:sz w:val="18"/>
          <w:szCs w:val="18"/>
          <w:bdr w:val="nil"/>
        </w:rPr>
        <w:t>opinion that the information referred to in par. 70.6.5(c)-(f), (h</w:t>
      </w:r>
      <w:r w:rsidR="00420E49" w:rsidRPr="008A5E19">
        <w:rPr>
          <w:rFonts w:ascii="Verdana" w:eastAsia="Verdana" w:hAnsi="Verdana" w:cs="Verdana"/>
          <w:sz w:val="18"/>
          <w:szCs w:val="18"/>
          <w:bdr w:val="nil"/>
        </w:rPr>
        <w:t>) and (</w:t>
      </w:r>
      <w:proofErr w:type="spellStart"/>
      <w:r w:rsidR="00420E49" w:rsidRPr="008A5E19">
        <w:rPr>
          <w:rFonts w:ascii="Verdana" w:eastAsia="Verdana" w:hAnsi="Verdana" w:cs="Verdana"/>
          <w:sz w:val="18"/>
          <w:szCs w:val="18"/>
          <w:bdr w:val="nil"/>
        </w:rPr>
        <w:t>i</w:t>
      </w:r>
      <w:proofErr w:type="spellEnd"/>
      <w:r w:rsidR="00420E49" w:rsidRPr="008A5E19">
        <w:rPr>
          <w:rFonts w:ascii="Verdana" w:eastAsia="Verdana" w:hAnsi="Verdana" w:cs="Verdana"/>
          <w:sz w:val="18"/>
          <w:szCs w:val="18"/>
          <w:bdr w:val="nil"/>
        </w:rPr>
        <w:t>) of the Regulation, as </w:t>
      </w:r>
      <w:r w:rsidRPr="008A5E19">
        <w:rPr>
          <w:rFonts w:ascii="Verdana" w:eastAsia="Verdana" w:hAnsi="Verdana" w:cs="Verdana"/>
          <w:sz w:val="18"/>
          <w:szCs w:val="18"/>
          <w:bdr w:val="nil"/>
        </w:rPr>
        <w:t>contained in the statement of compliance with corporate governance principles, is in accordance with the applicable laws and consistent with the information included in the consolidated financial statements.</w:t>
      </w:r>
    </w:p>
    <w:p w14:paraId="1457CAD2" w14:textId="77777777" w:rsidR="00047580" w:rsidRPr="008A5E19" w:rsidRDefault="00047580" w:rsidP="00047580">
      <w:pPr>
        <w:widowControl w:val="0"/>
        <w:spacing w:after="0" w:line="276" w:lineRule="auto"/>
        <w:jc w:val="both"/>
        <w:rPr>
          <w:rFonts w:ascii="Verdana" w:hAnsi="Verdana"/>
          <w:sz w:val="18"/>
          <w:szCs w:val="18"/>
        </w:rPr>
      </w:pPr>
    </w:p>
    <w:p w14:paraId="070C93D6" w14:textId="15FFDAAB" w:rsidR="007A5762" w:rsidRPr="008A5E19" w:rsidRDefault="0075087B" w:rsidP="00047580">
      <w:pPr>
        <w:widowControl w:val="0"/>
        <w:spacing w:after="120" w:line="276" w:lineRule="auto"/>
        <w:jc w:val="both"/>
        <w:outlineLvl w:val="3"/>
        <w:rPr>
          <w:rFonts w:ascii="Verdana" w:hAnsi="Verdana"/>
          <w:b/>
          <w:sz w:val="18"/>
          <w:szCs w:val="18"/>
        </w:rPr>
      </w:pPr>
      <w:r w:rsidRPr="008A5E19">
        <w:rPr>
          <w:rFonts w:ascii="Verdana" w:eastAsia="Verdana" w:hAnsi="Verdana" w:cs="Verdana"/>
          <w:b/>
          <w:bCs/>
          <w:sz w:val="18"/>
          <w:szCs w:val="18"/>
          <w:bdr w:val="nil"/>
        </w:rPr>
        <w:t xml:space="preserve">Information on Non-Financial Information </w:t>
      </w:r>
    </w:p>
    <w:p w14:paraId="08903F67" w14:textId="77777777" w:rsidR="007A5762"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In accordance with the requirements of the Act on Statutory Auditors, we confirm that the Group has prepared a non-financial information statement, as referred to in Article 49b.1 of the Accounting Act, as a separate part of the Report on the Activities.</w:t>
      </w:r>
    </w:p>
    <w:p w14:paraId="20DD10E9" w14:textId="77777777" w:rsidR="00047580" w:rsidRPr="008A5E19" w:rsidRDefault="00047580" w:rsidP="00047580">
      <w:pPr>
        <w:widowControl w:val="0"/>
        <w:spacing w:after="0" w:line="276" w:lineRule="auto"/>
        <w:jc w:val="both"/>
        <w:rPr>
          <w:rFonts w:ascii="Verdana" w:hAnsi="Verdana"/>
          <w:sz w:val="18"/>
          <w:szCs w:val="18"/>
        </w:rPr>
      </w:pPr>
    </w:p>
    <w:p w14:paraId="32887A9D" w14:textId="61B1C3F5" w:rsidR="007A5762" w:rsidRPr="008A5E19" w:rsidRDefault="0075087B" w:rsidP="00047580">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rPr>
        <w:t>We have not performed any assurance services relating to the non-financial information statement and we do not express any form of assurance conclusion thereon.</w:t>
      </w:r>
    </w:p>
    <w:p w14:paraId="38D49C52" w14:textId="77777777" w:rsidR="007A5762" w:rsidRPr="008A5E19" w:rsidRDefault="00E01A61" w:rsidP="00047580">
      <w:pPr>
        <w:widowControl w:val="0"/>
        <w:spacing w:after="0" w:line="276" w:lineRule="auto"/>
        <w:jc w:val="both"/>
        <w:rPr>
          <w:rFonts w:ascii="Verdana" w:hAnsi="Verdana"/>
          <w:b/>
          <w:sz w:val="18"/>
          <w:szCs w:val="18"/>
        </w:rPr>
      </w:pPr>
    </w:p>
    <w:p w14:paraId="2BF96CF2" w14:textId="77777777" w:rsidR="00BA6DCE" w:rsidRPr="008A5E19" w:rsidRDefault="0075087B" w:rsidP="00047580">
      <w:pPr>
        <w:widowControl w:val="0"/>
        <w:spacing w:after="120" w:line="276" w:lineRule="auto"/>
        <w:jc w:val="both"/>
        <w:rPr>
          <w:rFonts w:ascii="Verdana" w:hAnsi="Verdana"/>
          <w:b/>
          <w:sz w:val="18"/>
          <w:szCs w:val="18"/>
        </w:rPr>
      </w:pPr>
      <w:r w:rsidRPr="008A5E19">
        <w:rPr>
          <w:rFonts w:ascii="Verdana" w:eastAsia="Verdana" w:hAnsi="Verdana" w:cs="Verdana"/>
          <w:b/>
          <w:bCs/>
          <w:sz w:val="18"/>
          <w:szCs w:val="18"/>
          <w:bdr w:val="nil"/>
        </w:rPr>
        <w:t>Statement Concerning Provision of Non-Audit Services</w:t>
      </w:r>
    </w:p>
    <w:p w14:paraId="01A5638C" w14:textId="4B7F26A5" w:rsidR="00BA6DCE" w:rsidRPr="008A5E19" w:rsidRDefault="0075087B" w:rsidP="00316A6A">
      <w:pPr>
        <w:widowControl w:val="0"/>
        <w:spacing w:after="120" w:line="276" w:lineRule="auto"/>
        <w:jc w:val="both"/>
        <w:rPr>
          <w:rFonts w:ascii="Verdana" w:hAnsi="Verdana"/>
          <w:sz w:val="18"/>
          <w:szCs w:val="18"/>
        </w:rPr>
      </w:pPr>
      <w:proofErr w:type="gramStart"/>
      <w:r w:rsidRPr="008A5E19">
        <w:rPr>
          <w:rFonts w:ascii="Verdana" w:eastAsia="Verdana" w:hAnsi="Verdana" w:cs="Verdana"/>
          <w:sz w:val="18"/>
          <w:szCs w:val="18"/>
          <w:bdr w:val="nil"/>
        </w:rPr>
        <w:t>To the best of our knowledge and belief, we represent that non-audit services which we have provided to the Parent and to its subsidiaries are in accordance with the laws and regulations applicable in Poland and that we have not provided any non-audit services which are prohibited under Article 5.1 of the EU Regulation and Article 136 of</w:t>
      </w:r>
      <w:r w:rsidR="00420E49" w:rsidRPr="008A5E19">
        <w:rPr>
          <w:rFonts w:ascii="Verdana" w:eastAsia="Verdana" w:hAnsi="Verdana" w:cs="Verdana"/>
          <w:sz w:val="18"/>
          <w:szCs w:val="18"/>
          <w:bdr w:val="nil"/>
        </w:rPr>
        <w:t xml:space="preserve"> the Act on Statutory Auditors.</w:t>
      </w:r>
      <w:r w:rsidR="00420E49" w:rsidRPr="008A5E19">
        <w:rPr>
          <w:rFonts w:ascii="Verdana" w:eastAsia="Verdana" w:hAnsi="Verdana" w:cs="Verdana"/>
          <w:sz w:val="18"/>
          <w:szCs w:val="18"/>
          <w:bdr w:val="nil"/>
        </w:rPr>
        <w:br/>
      </w:r>
      <w:proofErr w:type="gramEnd"/>
      <w:r w:rsidRPr="008A5E19">
        <w:rPr>
          <w:rFonts w:ascii="Verdana" w:eastAsia="Verdana" w:hAnsi="Verdana" w:cs="Verdana"/>
          <w:sz w:val="18"/>
          <w:szCs w:val="18"/>
          <w:bdr w:val="nil"/>
        </w:rPr>
        <w:t xml:space="preserve">The non-audit </w:t>
      </w:r>
      <w:proofErr w:type="gramStart"/>
      <w:r w:rsidRPr="008A5E19">
        <w:rPr>
          <w:rFonts w:ascii="Verdana" w:eastAsia="Verdana" w:hAnsi="Verdana" w:cs="Verdana"/>
          <w:sz w:val="18"/>
          <w:szCs w:val="18"/>
          <w:bdr w:val="nil"/>
        </w:rPr>
        <w:t>services which we provided to the Parent and to its subsidiaries in the audited period</w:t>
      </w:r>
      <w:proofErr w:type="gramEnd"/>
      <w:r w:rsidRPr="008A5E19">
        <w:rPr>
          <w:rFonts w:ascii="Verdana" w:eastAsia="Verdana" w:hAnsi="Verdana" w:cs="Verdana"/>
          <w:sz w:val="18"/>
          <w:szCs w:val="18"/>
          <w:bdr w:val="nil"/>
        </w:rPr>
        <w:t xml:space="preserve"> have been listed in </w:t>
      </w:r>
      <w:r w:rsidR="0098609D" w:rsidRPr="008A5E19">
        <w:rPr>
          <w:rFonts w:ascii="Verdana" w:eastAsia="Verdana" w:hAnsi="Verdana" w:cs="Verdana"/>
          <w:sz w:val="18"/>
          <w:szCs w:val="18"/>
          <w:bdr w:val="nil"/>
        </w:rPr>
        <w:t>Point</w:t>
      </w:r>
      <w:r w:rsidRPr="008A5E19">
        <w:rPr>
          <w:rFonts w:ascii="Verdana" w:eastAsia="Verdana" w:hAnsi="Verdana" w:cs="Verdana"/>
          <w:sz w:val="18"/>
          <w:szCs w:val="18"/>
          <w:bdr w:val="nil"/>
        </w:rPr>
        <w:t xml:space="preserve"> </w:t>
      </w:r>
      <w:r w:rsidR="000E5BB8" w:rsidRPr="008A5E19">
        <w:rPr>
          <w:rFonts w:ascii="Verdana" w:eastAsia="Verdana" w:hAnsi="Verdana" w:cs="Verdana"/>
          <w:sz w:val="18"/>
          <w:szCs w:val="18"/>
          <w:bdr w:val="nil"/>
        </w:rPr>
        <w:t xml:space="preserve">Agreement with the Auditor </w:t>
      </w:r>
      <w:r w:rsidRPr="008A5E19">
        <w:rPr>
          <w:rFonts w:ascii="Verdana" w:eastAsia="Verdana" w:hAnsi="Verdana" w:cs="Verdana"/>
          <w:sz w:val="18"/>
          <w:szCs w:val="18"/>
          <w:bdr w:val="nil"/>
        </w:rPr>
        <w:t xml:space="preserve">in the Report on the Activities. </w:t>
      </w:r>
    </w:p>
    <w:p w14:paraId="40E891A1" w14:textId="77777777" w:rsidR="00047580" w:rsidRPr="008A5E19" w:rsidRDefault="00047580" w:rsidP="00047580">
      <w:pPr>
        <w:widowControl w:val="0"/>
        <w:spacing w:after="0" w:line="276" w:lineRule="auto"/>
        <w:jc w:val="both"/>
        <w:rPr>
          <w:rFonts w:ascii="Verdana" w:eastAsia="Verdana" w:hAnsi="Verdana" w:cs="Verdana"/>
          <w:b/>
          <w:bCs/>
          <w:sz w:val="18"/>
          <w:szCs w:val="18"/>
          <w:bdr w:val="nil"/>
        </w:rPr>
      </w:pPr>
    </w:p>
    <w:p w14:paraId="3527A7EE" w14:textId="77777777" w:rsidR="00BA6DCE" w:rsidRPr="008A5E19" w:rsidRDefault="0075087B" w:rsidP="00047580">
      <w:pPr>
        <w:widowControl w:val="0"/>
        <w:spacing w:after="120" w:line="276" w:lineRule="auto"/>
        <w:jc w:val="both"/>
        <w:rPr>
          <w:rFonts w:ascii="Verdana" w:hAnsi="Verdana"/>
          <w:b/>
          <w:sz w:val="18"/>
          <w:szCs w:val="18"/>
        </w:rPr>
      </w:pPr>
      <w:r w:rsidRPr="008A5E19">
        <w:rPr>
          <w:rFonts w:ascii="Verdana" w:eastAsia="Verdana" w:hAnsi="Verdana" w:cs="Verdana"/>
          <w:b/>
          <w:bCs/>
          <w:sz w:val="18"/>
          <w:szCs w:val="18"/>
          <w:bdr w:val="nil"/>
        </w:rPr>
        <w:t>Appointment of the Auditor</w:t>
      </w:r>
    </w:p>
    <w:p w14:paraId="4D621D9E" w14:textId="7B264B54" w:rsidR="00BA6DCE" w:rsidRPr="008A5E19" w:rsidRDefault="0075087B" w:rsidP="00047580">
      <w:pPr>
        <w:widowControl w:val="0"/>
        <w:spacing w:after="0" w:line="276" w:lineRule="auto"/>
        <w:jc w:val="both"/>
        <w:rPr>
          <w:rFonts w:ascii="Verdana" w:eastAsia="Verdana" w:hAnsi="Verdana" w:cs="Verdana"/>
          <w:sz w:val="18"/>
          <w:szCs w:val="18"/>
          <w:bdr w:val="nil"/>
        </w:rPr>
      </w:pPr>
      <w:r w:rsidRPr="008A5E19">
        <w:rPr>
          <w:rFonts w:ascii="Verdana" w:eastAsia="Verdana" w:hAnsi="Verdana" w:cs="Verdana"/>
          <w:sz w:val="18"/>
          <w:szCs w:val="18"/>
          <w:bdr w:val="nil"/>
        </w:rPr>
        <w:t xml:space="preserve">We </w:t>
      </w:r>
      <w:proofErr w:type="gramStart"/>
      <w:r w:rsidRPr="008A5E19">
        <w:rPr>
          <w:rFonts w:ascii="Verdana" w:eastAsia="Verdana" w:hAnsi="Verdana" w:cs="Verdana"/>
          <w:sz w:val="18"/>
          <w:szCs w:val="18"/>
          <w:bdr w:val="nil"/>
        </w:rPr>
        <w:t>were appointed</w:t>
      </w:r>
      <w:proofErr w:type="gramEnd"/>
      <w:r w:rsidRPr="008A5E19">
        <w:rPr>
          <w:rFonts w:ascii="Verdana" w:eastAsia="Verdana" w:hAnsi="Verdana" w:cs="Verdana"/>
          <w:sz w:val="18"/>
          <w:szCs w:val="18"/>
          <w:bdr w:val="nil"/>
        </w:rPr>
        <w:t xml:space="preserve"> as the auditor of the Group’s consolidated financial statements by resolution </w:t>
      </w:r>
      <w:r w:rsidR="005F46BA" w:rsidRPr="008A5E19">
        <w:rPr>
          <w:rFonts w:ascii="Verdana" w:eastAsia="Verdana" w:hAnsi="Verdana" w:cs="Verdana"/>
          <w:sz w:val="18"/>
          <w:szCs w:val="18"/>
          <w:bdr w:val="nil"/>
        </w:rPr>
        <w:t>no. 1/700/2019</w:t>
      </w:r>
      <w:r w:rsidRPr="008A5E19">
        <w:rPr>
          <w:rFonts w:ascii="Verdana" w:eastAsia="Verdana" w:hAnsi="Verdana" w:cs="Verdana"/>
          <w:sz w:val="18"/>
          <w:szCs w:val="18"/>
          <w:bdr w:val="nil"/>
        </w:rPr>
        <w:t xml:space="preserve"> of the Parent’s </w:t>
      </w:r>
      <w:r w:rsidR="005F46BA" w:rsidRPr="008A5E19">
        <w:rPr>
          <w:rFonts w:ascii="Verdana" w:eastAsia="Verdana" w:hAnsi="Verdana" w:cs="Verdana"/>
          <w:sz w:val="18"/>
          <w:szCs w:val="18"/>
          <w:bdr w:val="nil"/>
        </w:rPr>
        <w:t>Supervisory Board</w:t>
      </w:r>
      <w:r w:rsidRPr="008A5E19">
        <w:rPr>
          <w:rFonts w:ascii="Verdana" w:eastAsia="Verdana" w:hAnsi="Verdana" w:cs="Verdana"/>
          <w:sz w:val="18"/>
          <w:szCs w:val="18"/>
          <w:bdr w:val="nil"/>
        </w:rPr>
        <w:t xml:space="preserve"> of </w:t>
      </w:r>
      <w:r w:rsidR="005F46BA" w:rsidRPr="008A5E19">
        <w:rPr>
          <w:rFonts w:ascii="Verdana" w:eastAsia="Verdana" w:hAnsi="Verdana" w:cs="Verdana"/>
          <w:sz w:val="18"/>
          <w:szCs w:val="18"/>
          <w:bdr w:val="nil"/>
        </w:rPr>
        <w:t>22 January 2019.</w:t>
      </w:r>
      <w:r w:rsidRPr="008A5E19">
        <w:rPr>
          <w:rFonts w:ascii="Verdana" w:eastAsia="Verdana" w:hAnsi="Verdana" w:cs="Verdana"/>
          <w:sz w:val="18"/>
          <w:szCs w:val="18"/>
          <w:bdr w:val="nil"/>
        </w:rPr>
        <w:t xml:space="preserve"> This is our first year as auditor of the Group</w:t>
      </w:r>
      <w:r w:rsidR="007B5033" w:rsidRPr="008A5E19">
        <w:rPr>
          <w:rFonts w:ascii="Verdana" w:eastAsia="Verdana" w:hAnsi="Verdana" w:cs="Verdana"/>
          <w:sz w:val="18"/>
          <w:szCs w:val="18"/>
          <w:bdr w:val="nil"/>
        </w:rPr>
        <w:t>.</w:t>
      </w:r>
    </w:p>
    <w:p w14:paraId="7A5E5C7A" w14:textId="77777777" w:rsidR="00047580" w:rsidRPr="008A5E19" w:rsidRDefault="00047580" w:rsidP="00047580">
      <w:pPr>
        <w:widowControl w:val="0"/>
        <w:spacing w:after="0" w:line="276" w:lineRule="auto"/>
        <w:jc w:val="both"/>
        <w:rPr>
          <w:rFonts w:ascii="Verdana" w:hAnsi="Verdana"/>
          <w:sz w:val="18"/>
          <w:szCs w:val="18"/>
        </w:rPr>
      </w:pPr>
    </w:p>
    <w:p w14:paraId="48A9279C" w14:textId="1B34199E" w:rsidR="00DF4955" w:rsidRPr="008A5E19" w:rsidRDefault="0075087B" w:rsidP="00047580">
      <w:pPr>
        <w:widowControl w:val="0"/>
        <w:spacing w:after="0" w:line="276" w:lineRule="auto"/>
        <w:rPr>
          <w:rFonts w:ascii="Verdana" w:hAnsi="Verdana"/>
          <w:sz w:val="18"/>
          <w:szCs w:val="18"/>
        </w:rPr>
      </w:pPr>
      <w:r w:rsidRPr="008A5E19">
        <w:rPr>
          <w:rFonts w:ascii="Verdana" w:eastAsia="Verdana" w:hAnsi="Verdana" w:cs="Verdana"/>
          <w:sz w:val="18"/>
          <w:szCs w:val="18"/>
          <w:bdr w:val="nil"/>
        </w:rPr>
        <w:t xml:space="preserve">The key statutory auditor on the audit resulting in this independent auditor’s report is </w:t>
      </w:r>
      <w:r w:rsidR="005F46BA" w:rsidRPr="008A5E19">
        <w:rPr>
          <w:rFonts w:ascii="Verdana" w:eastAsia="Verdana" w:hAnsi="Verdana" w:cs="Verdana"/>
          <w:sz w:val="18"/>
          <w:szCs w:val="18"/>
          <w:bdr w:val="nil"/>
        </w:rPr>
        <w:t xml:space="preserve">Adrian </w:t>
      </w:r>
      <w:proofErr w:type="spellStart"/>
      <w:r w:rsidR="005F46BA" w:rsidRPr="008A5E19">
        <w:rPr>
          <w:rFonts w:ascii="Verdana" w:eastAsia="Verdana" w:hAnsi="Verdana" w:cs="Verdana"/>
          <w:sz w:val="18"/>
          <w:szCs w:val="18"/>
          <w:bdr w:val="nil"/>
        </w:rPr>
        <w:t>Karaś</w:t>
      </w:r>
      <w:proofErr w:type="spellEnd"/>
      <w:r w:rsidR="005F46BA" w:rsidRPr="008A5E19">
        <w:rPr>
          <w:rFonts w:ascii="Verdana" w:eastAsia="Verdana" w:hAnsi="Verdana" w:cs="Verdana"/>
          <w:sz w:val="18"/>
          <w:szCs w:val="18"/>
          <w:bdr w:val="nil"/>
        </w:rPr>
        <w:t>.</w:t>
      </w:r>
    </w:p>
    <w:p w14:paraId="1C61777F" w14:textId="77777777" w:rsidR="00193E15" w:rsidRPr="008A5E19" w:rsidRDefault="00E01A61" w:rsidP="00047580">
      <w:pPr>
        <w:widowControl w:val="0"/>
        <w:spacing w:after="0" w:line="276" w:lineRule="auto"/>
        <w:rPr>
          <w:rFonts w:ascii="Verdana" w:hAnsi="Verdana"/>
          <w:sz w:val="18"/>
          <w:szCs w:val="18"/>
        </w:rPr>
      </w:pPr>
    </w:p>
    <w:p w14:paraId="62320539" w14:textId="77777777" w:rsidR="008169DD" w:rsidRPr="008A5E19" w:rsidRDefault="0075087B" w:rsidP="00047580">
      <w:pPr>
        <w:widowControl w:val="0"/>
        <w:spacing w:after="0" w:line="276" w:lineRule="auto"/>
        <w:jc w:val="both"/>
        <w:rPr>
          <w:rFonts w:ascii="Verdana" w:hAnsi="Verdana"/>
          <w:sz w:val="18"/>
          <w:szCs w:val="18"/>
        </w:rPr>
      </w:pPr>
      <w:r w:rsidRPr="008A5E19">
        <w:rPr>
          <w:rFonts w:ascii="Verdana" w:eastAsia="Verdana" w:hAnsi="Verdana" w:cs="Verdana"/>
          <w:sz w:val="18"/>
          <w:szCs w:val="18"/>
          <w:bdr w:val="nil"/>
        </w:rPr>
        <w:t xml:space="preserve">Acting on behalf of Deloitte Audyt </w:t>
      </w:r>
      <w:proofErr w:type="spellStart"/>
      <w:r w:rsidRPr="008A5E19">
        <w:rPr>
          <w:rFonts w:ascii="Verdana" w:eastAsia="Verdana" w:hAnsi="Verdana" w:cs="Verdana"/>
          <w:sz w:val="18"/>
          <w:szCs w:val="18"/>
          <w:bdr w:val="nil"/>
        </w:rPr>
        <w:t>Spółka</w:t>
      </w:r>
      <w:proofErr w:type="spellEnd"/>
      <w:r w:rsidRPr="008A5E19">
        <w:rPr>
          <w:rFonts w:ascii="Verdana" w:eastAsia="Verdana" w:hAnsi="Verdana" w:cs="Verdana"/>
          <w:sz w:val="18"/>
          <w:szCs w:val="18"/>
          <w:bdr w:val="nil"/>
        </w:rPr>
        <w:t xml:space="preserve"> z </w:t>
      </w:r>
      <w:proofErr w:type="spellStart"/>
      <w:r w:rsidRPr="008A5E19">
        <w:rPr>
          <w:rFonts w:ascii="Verdana" w:eastAsia="Verdana" w:hAnsi="Verdana" w:cs="Verdana"/>
          <w:sz w:val="18"/>
          <w:szCs w:val="18"/>
          <w:bdr w:val="nil"/>
        </w:rPr>
        <w:t>ograniczoną</w:t>
      </w:r>
      <w:proofErr w:type="spellEnd"/>
      <w:r w:rsidRPr="008A5E19">
        <w:rPr>
          <w:rFonts w:ascii="Verdana" w:eastAsia="Verdana" w:hAnsi="Verdana" w:cs="Verdana"/>
          <w:sz w:val="18"/>
          <w:szCs w:val="18"/>
          <w:bdr w:val="nil"/>
        </w:rPr>
        <w:t xml:space="preserve"> </w:t>
      </w:r>
      <w:proofErr w:type="spellStart"/>
      <w:r w:rsidRPr="008A5E19">
        <w:rPr>
          <w:rFonts w:ascii="Verdana" w:eastAsia="Verdana" w:hAnsi="Verdana" w:cs="Verdana"/>
          <w:sz w:val="18"/>
          <w:szCs w:val="18"/>
          <w:bdr w:val="nil"/>
        </w:rPr>
        <w:t>odpowiedzialnością</w:t>
      </w:r>
      <w:proofErr w:type="spellEnd"/>
      <w:r w:rsidRPr="008A5E19">
        <w:rPr>
          <w:rFonts w:ascii="Verdana" w:eastAsia="Verdana" w:hAnsi="Verdana" w:cs="Verdana"/>
          <w:sz w:val="18"/>
          <w:szCs w:val="18"/>
          <w:bdr w:val="nil"/>
        </w:rPr>
        <w:t xml:space="preserve"> Sp. k. with its registered seat in Warsaw, entered under number 73 on the list of audit </w:t>
      </w:r>
      <w:r w:rsidR="00420E49" w:rsidRPr="008A5E19">
        <w:rPr>
          <w:rFonts w:ascii="Verdana" w:eastAsia="Verdana" w:hAnsi="Verdana" w:cs="Verdana"/>
          <w:sz w:val="18"/>
          <w:szCs w:val="18"/>
          <w:bdr w:val="nil"/>
        </w:rPr>
        <w:t>firms, in the name of which the </w:t>
      </w:r>
      <w:r w:rsidRPr="008A5E19">
        <w:rPr>
          <w:rFonts w:ascii="Verdana" w:eastAsia="Verdana" w:hAnsi="Verdana" w:cs="Verdana"/>
          <w:sz w:val="18"/>
          <w:szCs w:val="18"/>
          <w:bdr w:val="nil"/>
        </w:rPr>
        <w:t xml:space="preserve">consolidated financial statements </w:t>
      </w:r>
      <w:proofErr w:type="gramStart"/>
      <w:r w:rsidRPr="008A5E19">
        <w:rPr>
          <w:rFonts w:ascii="Verdana" w:eastAsia="Verdana" w:hAnsi="Verdana" w:cs="Verdana"/>
          <w:sz w:val="18"/>
          <w:szCs w:val="18"/>
          <w:bdr w:val="nil"/>
        </w:rPr>
        <w:t>have been audited</w:t>
      </w:r>
      <w:proofErr w:type="gramEnd"/>
      <w:r w:rsidRPr="008A5E19">
        <w:rPr>
          <w:rFonts w:ascii="Verdana" w:eastAsia="Verdana" w:hAnsi="Verdana" w:cs="Verdana"/>
          <w:sz w:val="18"/>
          <w:szCs w:val="18"/>
          <w:bdr w:val="nil"/>
        </w:rPr>
        <w:t xml:space="preserve"> by the key statutory auditor</w:t>
      </w:r>
      <w:r w:rsidR="00331A6D" w:rsidRPr="008A5E19">
        <w:rPr>
          <w:rFonts w:ascii="Verdana" w:eastAsia="Verdana" w:hAnsi="Verdana" w:cs="Verdana"/>
          <w:sz w:val="18"/>
          <w:szCs w:val="18"/>
          <w:bdr w:val="nil"/>
        </w:rPr>
        <w:t>:</w:t>
      </w:r>
    </w:p>
    <w:p w14:paraId="33FF3D7D" w14:textId="77777777" w:rsidR="008169DD" w:rsidRPr="008A5E19" w:rsidRDefault="00E01A61" w:rsidP="00047580">
      <w:pPr>
        <w:widowControl w:val="0"/>
        <w:spacing w:after="0" w:line="276" w:lineRule="auto"/>
        <w:rPr>
          <w:rFonts w:ascii="Verdana" w:hAnsi="Verdana"/>
          <w:sz w:val="18"/>
          <w:szCs w:val="18"/>
        </w:rPr>
      </w:pPr>
    </w:p>
    <w:p w14:paraId="61E6BFD2" w14:textId="77777777" w:rsidR="008169DD" w:rsidRPr="008A5E19" w:rsidRDefault="00E01A61" w:rsidP="00047580">
      <w:pPr>
        <w:widowControl w:val="0"/>
        <w:spacing w:after="0" w:line="276" w:lineRule="auto"/>
        <w:rPr>
          <w:rFonts w:ascii="Verdana" w:hAnsi="Verdana"/>
          <w:sz w:val="18"/>
          <w:szCs w:val="18"/>
        </w:rPr>
      </w:pPr>
    </w:p>
    <w:p w14:paraId="6C59CC34" w14:textId="77777777" w:rsidR="00047580" w:rsidRPr="008A5E19" w:rsidRDefault="00047580" w:rsidP="00047580">
      <w:pPr>
        <w:widowControl w:val="0"/>
        <w:spacing w:after="0" w:line="276" w:lineRule="auto"/>
        <w:rPr>
          <w:rFonts w:ascii="Verdana" w:hAnsi="Verdana"/>
          <w:sz w:val="18"/>
          <w:szCs w:val="18"/>
        </w:rPr>
      </w:pPr>
    </w:p>
    <w:p w14:paraId="4BFBDCD4" w14:textId="77777777" w:rsidR="008169DD" w:rsidRPr="008A5E19" w:rsidRDefault="00E01A61" w:rsidP="00047580">
      <w:pPr>
        <w:widowControl w:val="0"/>
        <w:spacing w:after="0" w:line="276" w:lineRule="auto"/>
        <w:rPr>
          <w:rFonts w:ascii="Verdana" w:hAnsi="Verdana"/>
          <w:sz w:val="18"/>
          <w:szCs w:val="18"/>
        </w:rPr>
      </w:pPr>
    </w:p>
    <w:p w14:paraId="18538743" w14:textId="38C782D7" w:rsidR="009776C5" w:rsidRPr="008A5E19" w:rsidRDefault="00596A3E" w:rsidP="00047580">
      <w:pPr>
        <w:widowControl w:val="0"/>
        <w:spacing w:after="0" w:line="276" w:lineRule="auto"/>
        <w:rPr>
          <w:rFonts w:ascii="Verdana" w:hAnsi="Verdana"/>
          <w:sz w:val="18"/>
          <w:szCs w:val="18"/>
        </w:rPr>
      </w:pPr>
      <w:r w:rsidRPr="008A5E19">
        <w:rPr>
          <w:rFonts w:ascii="Verdana" w:eastAsia="Verdana" w:hAnsi="Verdana" w:cs="Verdana"/>
          <w:sz w:val="18"/>
          <w:szCs w:val="18"/>
          <w:bdr w:val="nil"/>
        </w:rPr>
        <w:t xml:space="preserve">Adrian </w:t>
      </w:r>
      <w:proofErr w:type="spellStart"/>
      <w:r w:rsidRPr="008A5E19">
        <w:rPr>
          <w:rFonts w:ascii="Verdana" w:eastAsia="Verdana" w:hAnsi="Verdana" w:cs="Verdana"/>
          <w:sz w:val="18"/>
          <w:szCs w:val="18"/>
          <w:bdr w:val="nil"/>
        </w:rPr>
        <w:t>Karaś</w:t>
      </w:r>
      <w:proofErr w:type="spellEnd"/>
    </w:p>
    <w:p w14:paraId="5778CB70" w14:textId="77777777" w:rsidR="008169DD" w:rsidRPr="008A5E19" w:rsidRDefault="0075087B" w:rsidP="00047580">
      <w:pPr>
        <w:widowControl w:val="0"/>
        <w:spacing w:after="0" w:line="276" w:lineRule="auto"/>
        <w:rPr>
          <w:rFonts w:ascii="Verdana" w:hAnsi="Verdana"/>
          <w:sz w:val="18"/>
          <w:szCs w:val="18"/>
        </w:rPr>
      </w:pPr>
      <w:r w:rsidRPr="008A5E19">
        <w:rPr>
          <w:rFonts w:ascii="Verdana" w:eastAsia="Verdana" w:hAnsi="Verdana" w:cs="Verdana"/>
          <w:sz w:val="18"/>
          <w:szCs w:val="18"/>
          <w:bdr w:val="nil"/>
        </w:rPr>
        <w:t>Registered under number</w:t>
      </w:r>
      <w:r w:rsidR="00596A3E" w:rsidRPr="008A5E19">
        <w:rPr>
          <w:rFonts w:ascii="Verdana" w:eastAsia="Verdana" w:hAnsi="Verdana" w:cs="Verdana"/>
          <w:sz w:val="18"/>
          <w:szCs w:val="18"/>
          <w:bdr w:val="nil"/>
        </w:rPr>
        <w:t>: 12194</w:t>
      </w:r>
    </w:p>
    <w:p w14:paraId="50216712" w14:textId="77777777" w:rsidR="00047580" w:rsidRPr="008A5E19" w:rsidRDefault="00047580" w:rsidP="00047580">
      <w:pPr>
        <w:widowControl w:val="0"/>
        <w:spacing w:after="0" w:line="276" w:lineRule="auto"/>
        <w:rPr>
          <w:rFonts w:ascii="Verdana" w:eastAsia="Verdana" w:hAnsi="Verdana" w:cs="Verdana"/>
          <w:sz w:val="18"/>
          <w:szCs w:val="18"/>
          <w:bdr w:val="nil"/>
        </w:rPr>
      </w:pPr>
    </w:p>
    <w:p w14:paraId="2C7C0025" w14:textId="77777777" w:rsidR="00047580" w:rsidRPr="008A5E19" w:rsidRDefault="00047580" w:rsidP="00047580">
      <w:pPr>
        <w:widowControl w:val="0"/>
        <w:spacing w:after="0" w:line="276" w:lineRule="auto"/>
        <w:rPr>
          <w:rFonts w:ascii="Verdana" w:eastAsia="Verdana" w:hAnsi="Verdana" w:cs="Verdana"/>
          <w:sz w:val="18"/>
          <w:szCs w:val="18"/>
          <w:bdr w:val="nil"/>
        </w:rPr>
      </w:pPr>
    </w:p>
    <w:p w14:paraId="2C1E66C8" w14:textId="24C7AAD0" w:rsidR="00DF4955" w:rsidRPr="008A5E19" w:rsidRDefault="0075087B" w:rsidP="00047580">
      <w:pPr>
        <w:widowControl w:val="0"/>
        <w:spacing w:after="0" w:line="276" w:lineRule="auto"/>
        <w:rPr>
          <w:rFonts w:ascii="Verdana" w:eastAsia="Verdana" w:hAnsi="Verdana" w:cs="Verdana"/>
          <w:sz w:val="18"/>
          <w:szCs w:val="18"/>
          <w:bdr w:val="nil"/>
        </w:rPr>
      </w:pPr>
      <w:r w:rsidRPr="008A5E19">
        <w:rPr>
          <w:rFonts w:ascii="Verdana" w:eastAsia="Verdana" w:hAnsi="Verdana" w:cs="Verdana"/>
          <w:sz w:val="18"/>
          <w:szCs w:val="18"/>
          <w:bdr w:val="nil"/>
        </w:rPr>
        <w:t>Warsaw</w:t>
      </w:r>
      <w:proofErr w:type="gramStart"/>
      <w:r w:rsidRPr="008A5E19">
        <w:rPr>
          <w:rFonts w:ascii="Verdana" w:eastAsia="Verdana" w:hAnsi="Verdana" w:cs="Verdana"/>
          <w:sz w:val="18"/>
          <w:szCs w:val="18"/>
          <w:bdr w:val="nil"/>
        </w:rPr>
        <w:t xml:space="preserve">, </w:t>
      </w:r>
      <w:r w:rsidR="004460C1" w:rsidRPr="008A5E19">
        <w:rPr>
          <w:rFonts w:ascii="Verdana" w:eastAsia="Verdana" w:hAnsi="Verdana" w:cs="Verdana"/>
          <w:sz w:val="18"/>
          <w:szCs w:val="18"/>
          <w:bdr w:val="nil"/>
        </w:rPr>
        <w:t xml:space="preserve"> March</w:t>
      </w:r>
      <w:proofErr w:type="gramEnd"/>
      <w:r w:rsidR="004460C1" w:rsidRPr="008A5E19">
        <w:rPr>
          <w:rFonts w:ascii="Verdana" w:eastAsia="Verdana" w:hAnsi="Verdana" w:cs="Verdana"/>
          <w:sz w:val="18"/>
          <w:szCs w:val="18"/>
          <w:bdr w:val="nil"/>
        </w:rPr>
        <w:t xml:space="preserve"> </w:t>
      </w:r>
      <w:r w:rsidR="000E5BB8" w:rsidRPr="008A5E19">
        <w:rPr>
          <w:rFonts w:ascii="Verdana" w:eastAsia="Verdana" w:hAnsi="Verdana" w:cs="Verdana"/>
          <w:sz w:val="18"/>
          <w:szCs w:val="18"/>
          <w:bdr w:val="nil"/>
        </w:rPr>
        <w:t xml:space="preserve">9, </w:t>
      </w:r>
      <w:r w:rsidR="004460C1" w:rsidRPr="008A5E19">
        <w:rPr>
          <w:rFonts w:ascii="Verdana" w:eastAsia="Verdana" w:hAnsi="Verdana" w:cs="Verdana"/>
          <w:sz w:val="18"/>
          <w:szCs w:val="18"/>
          <w:bdr w:val="nil"/>
        </w:rPr>
        <w:t>2020</w:t>
      </w:r>
    </w:p>
    <w:p w14:paraId="2559CA3E" w14:textId="77777777" w:rsidR="008B4A9B" w:rsidRPr="008A5E19" w:rsidRDefault="008B4A9B" w:rsidP="00047580">
      <w:pPr>
        <w:widowControl w:val="0"/>
        <w:spacing w:after="0" w:line="276" w:lineRule="auto"/>
        <w:rPr>
          <w:rFonts w:ascii="Verdana" w:eastAsia="Verdana" w:hAnsi="Verdana" w:cs="Verdana"/>
          <w:sz w:val="18"/>
          <w:szCs w:val="18"/>
          <w:bdr w:val="nil"/>
        </w:rPr>
      </w:pPr>
    </w:p>
    <w:p w14:paraId="00B08039" w14:textId="77777777" w:rsidR="008B4A9B" w:rsidRPr="000E5BB8" w:rsidRDefault="008B4A9B" w:rsidP="008B4A9B">
      <w:pPr>
        <w:spacing w:after="0" w:line="276" w:lineRule="auto"/>
        <w:jc w:val="both"/>
        <w:rPr>
          <w:rFonts w:ascii="Verdana" w:hAnsi="Verdana"/>
          <w:sz w:val="18"/>
          <w:szCs w:val="18"/>
        </w:rPr>
      </w:pPr>
      <w:r w:rsidRPr="008A5E19">
        <w:rPr>
          <w:rFonts w:ascii="Verdana" w:hAnsi="Verdana"/>
          <w:b/>
          <w:i/>
          <w:sz w:val="18"/>
          <w:szCs w:val="18"/>
        </w:rPr>
        <w:t xml:space="preserve">This document is a foreign language version of the original Independent Auditor’s Report issued in Polish version and only the original version is binding. This document has been prepared for information purposes and </w:t>
      </w:r>
      <w:proofErr w:type="gramStart"/>
      <w:r w:rsidRPr="008A5E19">
        <w:rPr>
          <w:rFonts w:ascii="Verdana" w:hAnsi="Verdana"/>
          <w:b/>
          <w:i/>
          <w:sz w:val="18"/>
          <w:szCs w:val="18"/>
        </w:rPr>
        <w:t>could be used</w:t>
      </w:r>
      <w:proofErr w:type="gramEnd"/>
      <w:r w:rsidRPr="008A5E19">
        <w:rPr>
          <w:rFonts w:ascii="Verdana" w:hAnsi="Verdana"/>
          <w:b/>
          <w:i/>
          <w:sz w:val="18"/>
          <w:szCs w:val="18"/>
        </w:rPr>
        <w:t xml:space="preserve"> only for company’s internal purposes. In case of any discrepancies between the Polish and English version, the Polish version shall prevail.</w:t>
      </w:r>
    </w:p>
    <w:p w14:paraId="0E33BA11" w14:textId="77777777" w:rsidR="008B4A9B" w:rsidRPr="000E5BB8" w:rsidRDefault="008B4A9B" w:rsidP="00047580">
      <w:pPr>
        <w:widowControl w:val="0"/>
        <w:spacing w:after="0" w:line="276" w:lineRule="auto"/>
        <w:rPr>
          <w:rFonts w:ascii="Verdana" w:hAnsi="Verdana"/>
          <w:sz w:val="18"/>
          <w:szCs w:val="18"/>
        </w:rPr>
      </w:pPr>
    </w:p>
    <w:sectPr w:rsidR="008B4A9B" w:rsidRPr="000E5BB8" w:rsidSect="00047580">
      <w:headerReference w:type="default" r:id="rId9"/>
      <w:footerReference w:type="default" r:id="rId10"/>
      <w:headerReference w:type="first" r:id="rId11"/>
      <w:footerReference w:type="first" r:id="rId12"/>
      <w:pgSz w:w="11906" w:h="16838" w:code="9"/>
      <w:pgMar w:top="1560"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02B9D" w14:textId="77777777" w:rsidR="00E01A61" w:rsidRDefault="00E01A61">
      <w:pPr>
        <w:spacing w:after="0" w:line="240" w:lineRule="auto"/>
      </w:pPr>
      <w:r>
        <w:separator/>
      </w:r>
    </w:p>
  </w:endnote>
  <w:endnote w:type="continuationSeparator" w:id="0">
    <w:p w14:paraId="38069D62" w14:textId="77777777" w:rsidR="00E01A61" w:rsidRDefault="00E0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412B" w14:textId="63FD26A5" w:rsidR="00323D72" w:rsidRPr="00047580" w:rsidRDefault="0075087B">
    <w:pPr>
      <w:pStyle w:val="Footer"/>
      <w:jc w:val="right"/>
      <w:rPr>
        <w:rFonts w:ascii="Verdana" w:eastAsia="Times New Roman" w:hAnsi="Verdana"/>
        <w:sz w:val="18"/>
      </w:rPr>
    </w:pPr>
    <w:r w:rsidRPr="00047580">
      <w:rPr>
        <w:rFonts w:ascii="Verdana" w:eastAsia="Times New Roman" w:hAnsi="Verdana"/>
        <w:sz w:val="18"/>
      </w:rPr>
      <w:fldChar w:fldCharType="begin"/>
    </w:r>
    <w:r w:rsidRPr="00047580">
      <w:rPr>
        <w:rFonts w:ascii="Verdana" w:hAnsi="Verdana"/>
        <w:sz w:val="18"/>
      </w:rPr>
      <w:instrText>PAGE    \* MERGEFORMAT</w:instrText>
    </w:r>
    <w:r w:rsidRPr="00047580">
      <w:rPr>
        <w:rFonts w:ascii="Verdana" w:eastAsia="Times New Roman" w:hAnsi="Verdana"/>
        <w:sz w:val="18"/>
      </w:rPr>
      <w:fldChar w:fldCharType="separate"/>
    </w:r>
    <w:r w:rsidR="008A5E19" w:rsidRPr="008A5E19">
      <w:rPr>
        <w:rFonts w:ascii="Verdana" w:eastAsia="Times New Roman" w:hAnsi="Verdana"/>
        <w:noProof/>
        <w:sz w:val="18"/>
        <w:lang w:val="pl-PL"/>
      </w:rPr>
      <w:t>8</w:t>
    </w:r>
    <w:r w:rsidRPr="00047580">
      <w:rPr>
        <w:rFonts w:ascii="Verdana" w:eastAsia="Times New Roman" w:hAnsi="Verdan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0EB7" w14:textId="77777777" w:rsidR="00047580" w:rsidRPr="00047580" w:rsidRDefault="00047580" w:rsidP="00047580">
    <w:pPr>
      <w:tabs>
        <w:tab w:val="right" w:pos="7371"/>
      </w:tabs>
      <w:spacing w:after="0" w:line="130" w:lineRule="exact"/>
      <w:ind w:right="227"/>
      <w:rPr>
        <w:rFonts w:ascii="Verdana" w:eastAsia="Verdana" w:hAnsi="Verdana"/>
        <w:sz w:val="11"/>
        <w:lang w:val="en-GB"/>
      </w:rPr>
    </w:pPr>
    <w:r w:rsidRPr="00047580">
      <w:rPr>
        <w:rFonts w:ascii="Verdana" w:eastAsia="Verdana" w:hAnsi="Verdana"/>
        <w:sz w:val="11"/>
        <w:lang w:val="en-GB"/>
      </w:rPr>
      <w:t xml:space="preserve">Deloitte refers to one or more of Deloitte </w:t>
    </w:r>
    <w:proofErr w:type="spellStart"/>
    <w:r w:rsidRPr="00047580">
      <w:rPr>
        <w:rFonts w:ascii="Verdana" w:eastAsia="Verdana" w:hAnsi="Verdana"/>
        <w:sz w:val="11"/>
        <w:lang w:val="en-GB"/>
      </w:rPr>
      <w:t>Touche</w:t>
    </w:r>
    <w:proofErr w:type="spellEnd"/>
    <w:r w:rsidRPr="00047580">
      <w:rPr>
        <w:rFonts w:ascii="Verdana" w:eastAsia="Verdana" w:hAnsi="Verdana"/>
        <w:sz w:val="11"/>
        <w:lang w:val="en-GB"/>
      </w:rPr>
      <w:t xml:space="preserve"> Tohmatsu Limited, a UK private company limited by guarantee, and its network of member firms, each of which is a legally separate and independent entity. Please see www.deloitte.com/pl/about for a detailed description of the legal structure of Deloitte </w:t>
    </w:r>
    <w:proofErr w:type="spellStart"/>
    <w:r w:rsidRPr="00047580">
      <w:rPr>
        <w:rFonts w:ascii="Verdana" w:eastAsia="Verdana" w:hAnsi="Verdana"/>
        <w:sz w:val="11"/>
        <w:lang w:val="en-GB"/>
      </w:rPr>
      <w:t>Touche</w:t>
    </w:r>
    <w:proofErr w:type="spellEnd"/>
    <w:r w:rsidRPr="00047580">
      <w:rPr>
        <w:rFonts w:ascii="Verdana" w:eastAsia="Verdana" w:hAnsi="Verdana"/>
        <w:sz w:val="11"/>
        <w:lang w:val="en-GB"/>
      </w:rPr>
      <w:t xml:space="preserve"> Tohmatsu Limited and its member firms.</w:t>
    </w:r>
  </w:p>
  <w:p w14:paraId="516354AD" w14:textId="77777777" w:rsidR="00047580" w:rsidRPr="00047580" w:rsidRDefault="00047580" w:rsidP="00047580">
    <w:pPr>
      <w:tabs>
        <w:tab w:val="right" w:pos="7371"/>
      </w:tabs>
      <w:spacing w:after="0" w:line="130" w:lineRule="exact"/>
      <w:ind w:right="227"/>
      <w:rPr>
        <w:rFonts w:ascii="Verdana" w:eastAsia="Verdana" w:hAnsi="Verdana"/>
        <w:sz w:val="11"/>
        <w:lang w:val="en-GB"/>
      </w:rPr>
    </w:pPr>
  </w:p>
  <w:p w14:paraId="6AB454A6" w14:textId="77777777" w:rsidR="00047580" w:rsidRPr="00047580" w:rsidRDefault="00047580" w:rsidP="00047580">
    <w:pPr>
      <w:tabs>
        <w:tab w:val="right" w:pos="7371"/>
      </w:tabs>
      <w:spacing w:after="0" w:line="130" w:lineRule="exact"/>
      <w:ind w:right="227"/>
      <w:rPr>
        <w:rFonts w:ascii="Verdana" w:eastAsia="Verdana" w:hAnsi="Verdana"/>
        <w:sz w:val="11"/>
        <w:lang w:val="en-GB"/>
      </w:rPr>
    </w:pPr>
    <w:r w:rsidRPr="00047580">
      <w:rPr>
        <w:rFonts w:ascii="Verdana" w:eastAsia="Verdana" w:hAnsi="Verdana"/>
        <w:sz w:val="11"/>
        <w:lang w:val="en-GB"/>
      </w:rPr>
      <w:t xml:space="preserve">Member of Deloitte </w:t>
    </w:r>
    <w:proofErr w:type="spellStart"/>
    <w:r w:rsidRPr="00047580">
      <w:rPr>
        <w:rFonts w:ascii="Verdana" w:eastAsia="Verdana" w:hAnsi="Verdana"/>
        <w:sz w:val="11"/>
        <w:lang w:val="en-GB"/>
      </w:rPr>
      <w:t>Touche</w:t>
    </w:r>
    <w:proofErr w:type="spellEnd"/>
    <w:r w:rsidRPr="00047580">
      <w:rPr>
        <w:rFonts w:ascii="Verdana" w:eastAsia="Verdana" w:hAnsi="Verdana"/>
        <w:sz w:val="11"/>
        <w:lang w:val="en-GB"/>
      </w:rPr>
      <w:t xml:space="preserve"> Tohmatsu Limited</w:t>
    </w:r>
  </w:p>
  <w:p w14:paraId="23206269" w14:textId="77777777" w:rsidR="00047580" w:rsidRPr="00047580" w:rsidRDefault="00047580" w:rsidP="00047580">
    <w:pPr>
      <w:tabs>
        <w:tab w:val="right" w:pos="7371"/>
      </w:tabs>
      <w:spacing w:after="0" w:line="130" w:lineRule="exact"/>
      <w:ind w:right="227"/>
      <w:rPr>
        <w:rFonts w:ascii="Verdana" w:eastAsia="Verdana" w:hAnsi="Verdana"/>
        <w:sz w:val="11"/>
        <w:lang w:val="en-GB"/>
      </w:rPr>
    </w:pPr>
  </w:p>
  <w:p w14:paraId="2C6C2485" w14:textId="77777777" w:rsidR="00047580" w:rsidRPr="00047580" w:rsidRDefault="00047580" w:rsidP="00047580">
    <w:pPr>
      <w:tabs>
        <w:tab w:val="right" w:pos="7371"/>
      </w:tabs>
      <w:spacing w:after="0" w:line="130" w:lineRule="exact"/>
      <w:ind w:right="227"/>
      <w:rPr>
        <w:rFonts w:ascii="Verdana" w:eastAsia="Verdana" w:hAnsi="Verdana"/>
        <w:sz w:val="11"/>
        <w:lang w:val="en-GB"/>
      </w:rPr>
    </w:pPr>
    <w:r w:rsidRPr="00047580">
      <w:rPr>
        <w:rFonts w:ascii="Verdana" w:eastAsia="Verdana" w:hAnsi="Verdana"/>
        <w:sz w:val="11"/>
        <w:lang w:val="en-GB"/>
      </w:rPr>
      <w:t>District Court for the city of Warsaw, XII Business Division of the National Court Register, KRS No. 0000446833, NIP: 527-020-07-86, REGON: 010076870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FE03" w14:textId="77777777" w:rsidR="00E01A61" w:rsidRDefault="00E01A61" w:rsidP="00DF4955">
      <w:pPr>
        <w:spacing w:after="0" w:line="240" w:lineRule="auto"/>
      </w:pPr>
      <w:r>
        <w:separator/>
      </w:r>
    </w:p>
  </w:footnote>
  <w:footnote w:type="continuationSeparator" w:id="0">
    <w:p w14:paraId="3413B8F1" w14:textId="77777777" w:rsidR="00E01A61" w:rsidRDefault="00E01A61" w:rsidP="00DF4955">
      <w:pPr>
        <w:spacing w:after="0" w:line="240" w:lineRule="auto"/>
      </w:pPr>
      <w:r>
        <w:continuationSeparator/>
      </w:r>
    </w:p>
  </w:footnote>
  <w:footnote w:type="continuationNotice" w:id="1">
    <w:p w14:paraId="7B10FEED" w14:textId="77777777" w:rsidR="00E01A61" w:rsidRDefault="00E01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658B" w14:textId="77777777" w:rsidR="00047580" w:rsidRDefault="00047580">
    <w:pPr>
      <w:pStyle w:val="Header"/>
    </w:pPr>
    <w:r>
      <w:rPr>
        <w:noProof/>
        <w:lang w:val="pl-PL" w:eastAsia="pl-PL"/>
      </w:rPr>
      <w:drawing>
        <wp:anchor distT="0" distB="0" distL="114300" distR="114300" simplePos="0" relativeHeight="251661312" behindDoc="0" locked="1" layoutInCell="1" allowOverlap="1" wp14:anchorId="1DDF1C80" wp14:editId="135527FB">
          <wp:simplePos x="0" y="0"/>
          <wp:positionH relativeFrom="margin">
            <wp:posOffset>0</wp:posOffset>
          </wp:positionH>
          <wp:positionV relativeFrom="page">
            <wp:posOffset>457200</wp:posOffset>
          </wp:positionV>
          <wp:extent cx="1871980" cy="349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34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5798" w14:textId="77777777" w:rsidR="00047580" w:rsidRPr="00B83FAE" w:rsidRDefault="00047580" w:rsidP="00047580">
    <w:pPr>
      <w:pStyle w:val="Deloitteaddress"/>
      <w:ind w:left="5670"/>
      <w:rPr>
        <w:lang w:val="pl-PL"/>
      </w:rPr>
    </w:pPr>
    <w:r>
      <w:rPr>
        <w:noProof/>
        <w:lang w:val="pl-PL" w:eastAsia="pl-PL"/>
      </w:rPr>
      <w:drawing>
        <wp:anchor distT="0" distB="0" distL="114300" distR="114300" simplePos="0" relativeHeight="251659264" behindDoc="0" locked="1" layoutInCell="1" allowOverlap="1" wp14:anchorId="44EB749E" wp14:editId="17E5A03A">
          <wp:simplePos x="0" y="0"/>
          <wp:positionH relativeFrom="margin">
            <wp:align>left</wp:align>
          </wp:positionH>
          <wp:positionV relativeFrom="page">
            <wp:posOffset>461645</wp:posOffset>
          </wp:positionV>
          <wp:extent cx="1871980" cy="3492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FAE">
      <w:rPr>
        <w:lang w:val="pl-PL"/>
      </w:rPr>
      <w:t xml:space="preserve">Deloitte </w:t>
    </w:r>
    <w:r>
      <w:rPr>
        <w:lang w:val="pl-PL"/>
      </w:rPr>
      <w:t>Audyt</w:t>
    </w:r>
  </w:p>
  <w:p w14:paraId="6CA65F32" w14:textId="77777777" w:rsidR="00047580" w:rsidRPr="00C774AE" w:rsidRDefault="00047580" w:rsidP="00047580">
    <w:pPr>
      <w:pStyle w:val="Deloitteaddress"/>
      <w:ind w:left="5670"/>
      <w:rPr>
        <w:lang w:val="pl-PL"/>
      </w:rPr>
    </w:pPr>
    <w:r w:rsidRPr="00B83FAE">
      <w:rPr>
        <w:lang w:val="pl-PL"/>
      </w:rPr>
      <w:t>Spółka z ograniczoną odpowiedzialnością Sp. k.</w:t>
    </w:r>
  </w:p>
  <w:p w14:paraId="459F0078" w14:textId="77777777" w:rsidR="00047580" w:rsidRPr="00B83FAE" w:rsidRDefault="00047580" w:rsidP="00047580">
    <w:pPr>
      <w:pStyle w:val="Deloitteaddress"/>
      <w:ind w:left="5670"/>
      <w:rPr>
        <w:lang w:val="pl-PL"/>
      </w:rPr>
    </w:pPr>
    <w:proofErr w:type="gramStart"/>
    <w:r>
      <w:rPr>
        <w:lang w:val="pl-PL"/>
      </w:rPr>
      <w:t>a</w:t>
    </w:r>
    <w:r w:rsidRPr="00B83FAE">
      <w:rPr>
        <w:lang w:val="pl-PL"/>
      </w:rPr>
      <w:t>l</w:t>
    </w:r>
    <w:proofErr w:type="gramEnd"/>
    <w:r w:rsidRPr="00B83FAE">
      <w:rPr>
        <w:lang w:val="pl-PL"/>
      </w:rPr>
      <w:t>. Jana Pawła II</w:t>
    </w:r>
    <w:r>
      <w:rPr>
        <w:lang w:val="pl-PL"/>
      </w:rPr>
      <w:t xml:space="preserve"> 22</w:t>
    </w:r>
  </w:p>
  <w:p w14:paraId="7FE1C672" w14:textId="77777777" w:rsidR="00047580" w:rsidRPr="00B83FAE" w:rsidRDefault="00047580" w:rsidP="00047580">
    <w:pPr>
      <w:pStyle w:val="Deloitteaddress"/>
      <w:ind w:left="5670"/>
      <w:rPr>
        <w:lang w:val="pl-PL"/>
      </w:rPr>
    </w:pPr>
    <w:r w:rsidRPr="00B83FAE">
      <w:rPr>
        <w:lang w:val="pl-PL"/>
      </w:rPr>
      <w:t>00-</w:t>
    </w:r>
    <w:r>
      <w:rPr>
        <w:lang w:val="pl-PL"/>
      </w:rPr>
      <w:t>133</w:t>
    </w:r>
    <w:r w:rsidRPr="00B83FAE">
      <w:rPr>
        <w:lang w:val="pl-PL"/>
      </w:rPr>
      <w:t xml:space="preserve"> Warszawa</w:t>
    </w:r>
  </w:p>
  <w:p w14:paraId="1386EEDD" w14:textId="77777777" w:rsidR="00047580" w:rsidRPr="00B83FAE" w:rsidRDefault="00047580" w:rsidP="00047580">
    <w:pPr>
      <w:pStyle w:val="Deloitteaddress"/>
      <w:ind w:left="5670"/>
      <w:rPr>
        <w:lang w:val="pl-PL"/>
      </w:rPr>
    </w:pPr>
    <w:r w:rsidRPr="00B83FAE">
      <w:rPr>
        <w:lang w:val="pl-PL"/>
      </w:rPr>
      <w:t>Polska</w:t>
    </w:r>
  </w:p>
  <w:p w14:paraId="3A865A0B" w14:textId="77777777" w:rsidR="00047580" w:rsidRDefault="00047580" w:rsidP="00047580">
    <w:pPr>
      <w:pStyle w:val="Deloitteaddress"/>
      <w:ind w:left="5670"/>
      <w:rPr>
        <w:lang w:val="pl-PL"/>
      </w:rPr>
    </w:pPr>
  </w:p>
  <w:p w14:paraId="4F3935F5" w14:textId="77777777" w:rsidR="00047580" w:rsidRPr="003E5B6E" w:rsidRDefault="00047580" w:rsidP="00047580">
    <w:pPr>
      <w:pStyle w:val="Deloitteaddress"/>
      <w:ind w:left="5670"/>
      <w:rPr>
        <w:lang w:val="en-US"/>
      </w:rPr>
    </w:pPr>
    <w:r w:rsidRPr="003E5B6E">
      <w:rPr>
        <w:lang w:val="en-US"/>
      </w:rPr>
      <w:t>Tel.: +48 22 511 08 11</w:t>
    </w:r>
  </w:p>
  <w:p w14:paraId="60D7C94D" w14:textId="77777777" w:rsidR="00047580" w:rsidRDefault="00047580" w:rsidP="00047580">
    <w:pPr>
      <w:pStyle w:val="Deloitteaddress"/>
      <w:ind w:left="5670"/>
      <w:rPr>
        <w:lang w:val="en-US"/>
      </w:rPr>
    </w:pPr>
    <w:r w:rsidRPr="003E5B6E">
      <w:rPr>
        <w:lang w:val="en-US"/>
      </w:rPr>
      <w:t>Fax: +48 22 511 08 13</w:t>
    </w:r>
  </w:p>
  <w:p w14:paraId="51526BE2" w14:textId="77777777" w:rsidR="00047580" w:rsidRPr="003E5B6E" w:rsidRDefault="00047580" w:rsidP="00047580">
    <w:pPr>
      <w:pStyle w:val="Deloitteaddress"/>
      <w:ind w:left="5670"/>
      <w:rPr>
        <w:lang w:val="en-US"/>
      </w:rPr>
    </w:pPr>
    <w:r w:rsidRPr="003E5B6E">
      <w:rPr>
        <w:lang w:val="en-US"/>
      </w:rPr>
      <w:t>www.deloitte.com/p</w:t>
    </w:r>
    <w:r>
      <w:rPr>
        <w:lang w:val="en-US"/>
      </w:rPr>
      <w:t>l</w:t>
    </w:r>
  </w:p>
  <w:p w14:paraId="62019FEE" w14:textId="77777777" w:rsidR="00047580" w:rsidRDefault="00047580" w:rsidP="00047580"/>
  <w:p w14:paraId="73615DB3" w14:textId="77777777" w:rsidR="00047580" w:rsidRDefault="00047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E36"/>
    <w:multiLevelType w:val="hybridMultilevel"/>
    <w:tmpl w:val="79F6610E"/>
    <w:lvl w:ilvl="0" w:tplc="C6764006">
      <w:start w:val="1"/>
      <w:numFmt w:val="decimal"/>
      <w:lvlText w:val="%1."/>
      <w:lvlJc w:val="left"/>
      <w:pPr>
        <w:ind w:left="360" w:hanging="360"/>
      </w:pPr>
    </w:lvl>
    <w:lvl w:ilvl="1" w:tplc="B82269CE">
      <w:start w:val="1"/>
      <w:numFmt w:val="lowerLetter"/>
      <w:lvlText w:val="%2."/>
      <w:lvlJc w:val="left"/>
      <w:pPr>
        <w:ind w:left="1080" w:hanging="360"/>
      </w:pPr>
    </w:lvl>
    <w:lvl w:ilvl="2" w:tplc="6F50C7DE">
      <w:start w:val="1"/>
      <w:numFmt w:val="lowerRoman"/>
      <w:lvlText w:val="%3."/>
      <w:lvlJc w:val="right"/>
      <w:pPr>
        <w:ind w:left="1800" w:hanging="180"/>
      </w:pPr>
    </w:lvl>
    <w:lvl w:ilvl="3" w:tplc="13389496">
      <w:start w:val="1"/>
      <w:numFmt w:val="decimal"/>
      <w:lvlText w:val="%4."/>
      <w:lvlJc w:val="left"/>
      <w:pPr>
        <w:ind w:left="2520" w:hanging="360"/>
      </w:pPr>
    </w:lvl>
    <w:lvl w:ilvl="4" w:tplc="B4DAA38E">
      <w:start w:val="1"/>
      <w:numFmt w:val="lowerLetter"/>
      <w:lvlText w:val="%5."/>
      <w:lvlJc w:val="left"/>
      <w:pPr>
        <w:ind w:left="3240" w:hanging="360"/>
      </w:pPr>
    </w:lvl>
    <w:lvl w:ilvl="5" w:tplc="2C0E61C0">
      <w:start w:val="1"/>
      <w:numFmt w:val="lowerRoman"/>
      <w:lvlText w:val="%6."/>
      <w:lvlJc w:val="right"/>
      <w:pPr>
        <w:ind w:left="3960" w:hanging="180"/>
      </w:pPr>
    </w:lvl>
    <w:lvl w:ilvl="6" w:tplc="72384952">
      <w:start w:val="1"/>
      <w:numFmt w:val="decimal"/>
      <w:lvlText w:val="%7."/>
      <w:lvlJc w:val="left"/>
      <w:pPr>
        <w:ind w:left="4680" w:hanging="360"/>
      </w:pPr>
    </w:lvl>
    <w:lvl w:ilvl="7" w:tplc="4E241E78">
      <w:start w:val="1"/>
      <w:numFmt w:val="lowerLetter"/>
      <w:lvlText w:val="%8."/>
      <w:lvlJc w:val="left"/>
      <w:pPr>
        <w:ind w:left="5400" w:hanging="360"/>
      </w:pPr>
    </w:lvl>
    <w:lvl w:ilvl="8" w:tplc="2DB6EA22">
      <w:start w:val="1"/>
      <w:numFmt w:val="lowerRoman"/>
      <w:lvlText w:val="%9."/>
      <w:lvlJc w:val="right"/>
      <w:pPr>
        <w:ind w:left="6120" w:hanging="180"/>
      </w:pPr>
    </w:lvl>
  </w:abstractNum>
  <w:abstractNum w:abstractNumId="1" w15:restartNumberingAfterBreak="0">
    <w:nsid w:val="20604BC0"/>
    <w:multiLevelType w:val="hybridMultilevel"/>
    <w:tmpl w:val="9C0C0EE8"/>
    <w:lvl w:ilvl="0" w:tplc="4BE2AB34">
      <w:start w:val="1"/>
      <w:numFmt w:val="bullet"/>
      <w:lvlText w:val=""/>
      <w:lvlJc w:val="left"/>
      <w:pPr>
        <w:ind w:left="720" w:hanging="360"/>
      </w:pPr>
      <w:rPr>
        <w:rFonts w:ascii="Symbol" w:hAnsi="Symbol" w:hint="default"/>
      </w:rPr>
    </w:lvl>
    <w:lvl w:ilvl="1" w:tplc="6582B074" w:tentative="1">
      <w:start w:val="1"/>
      <w:numFmt w:val="bullet"/>
      <w:lvlText w:val="o"/>
      <w:lvlJc w:val="left"/>
      <w:pPr>
        <w:ind w:left="1440" w:hanging="360"/>
      </w:pPr>
      <w:rPr>
        <w:rFonts w:ascii="Courier New" w:hAnsi="Courier New" w:cs="Courier New" w:hint="default"/>
      </w:rPr>
    </w:lvl>
    <w:lvl w:ilvl="2" w:tplc="D3281CCC" w:tentative="1">
      <w:start w:val="1"/>
      <w:numFmt w:val="bullet"/>
      <w:lvlText w:val=""/>
      <w:lvlJc w:val="left"/>
      <w:pPr>
        <w:ind w:left="2160" w:hanging="360"/>
      </w:pPr>
      <w:rPr>
        <w:rFonts w:ascii="Wingdings" w:hAnsi="Wingdings" w:hint="default"/>
      </w:rPr>
    </w:lvl>
    <w:lvl w:ilvl="3" w:tplc="208ABAFC" w:tentative="1">
      <w:start w:val="1"/>
      <w:numFmt w:val="bullet"/>
      <w:lvlText w:val=""/>
      <w:lvlJc w:val="left"/>
      <w:pPr>
        <w:ind w:left="2880" w:hanging="360"/>
      </w:pPr>
      <w:rPr>
        <w:rFonts w:ascii="Symbol" w:hAnsi="Symbol" w:hint="default"/>
      </w:rPr>
    </w:lvl>
    <w:lvl w:ilvl="4" w:tplc="CB9A9122" w:tentative="1">
      <w:start w:val="1"/>
      <w:numFmt w:val="bullet"/>
      <w:lvlText w:val="o"/>
      <w:lvlJc w:val="left"/>
      <w:pPr>
        <w:ind w:left="3600" w:hanging="360"/>
      </w:pPr>
      <w:rPr>
        <w:rFonts w:ascii="Courier New" w:hAnsi="Courier New" w:cs="Courier New" w:hint="default"/>
      </w:rPr>
    </w:lvl>
    <w:lvl w:ilvl="5" w:tplc="4C4C739A" w:tentative="1">
      <w:start w:val="1"/>
      <w:numFmt w:val="bullet"/>
      <w:lvlText w:val=""/>
      <w:lvlJc w:val="left"/>
      <w:pPr>
        <w:ind w:left="4320" w:hanging="360"/>
      </w:pPr>
      <w:rPr>
        <w:rFonts w:ascii="Wingdings" w:hAnsi="Wingdings" w:hint="default"/>
      </w:rPr>
    </w:lvl>
    <w:lvl w:ilvl="6" w:tplc="53DED398" w:tentative="1">
      <w:start w:val="1"/>
      <w:numFmt w:val="bullet"/>
      <w:lvlText w:val=""/>
      <w:lvlJc w:val="left"/>
      <w:pPr>
        <w:ind w:left="5040" w:hanging="360"/>
      </w:pPr>
      <w:rPr>
        <w:rFonts w:ascii="Symbol" w:hAnsi="Symbol" w:hint="default"/>
      </w:rPr>
    </w:lvl>
    <w:lvl w:ilvl="7" w:tplc="F5241498" w:tentative="1">
      <w:start w:val="1"/>
      <w:numFmt w:val="bullet"/>
      <w:lvlText w:val="o"/>
      <w:lvlJc w:val="left"/>
      <w:pPr>
        <w:ind w:left="5760" w:hanging="360"/>
      </w:pPr>
      <w:rPr>
        <w:rFonts w:ascii="Courier New" w:hAnsi="Courier New" w:cs="Courier New" w:hint="default"/>
      </w:rPr>
    </w:lvl>
    <w:lvl w:ilvl="8" w:tplc="53289A98" w:tentative="1">
      <w:start w:val="1"/>
      <w:numFmt w:val="bullet"/>
      <w:lvlText w:val=""/>
      <w:lvlJc w:val="left"/>
      <w:pPr>
        <w:ind w:left="6480" w:hanging="360"/>
      </w:pPr>
      <w:rPr>
        <w:rFonts w:ascii="Wingdings" w:hAnsi="Wingdings" w:hint="default"/>
      </w:rPr>
    </w:lvl>
  </w:abstractNum>
  <w:abstractNum w:abstractNumId="2" w15:restartNumberingAfterBreak="0">
    <w:nsid w:val="3054549E"/>
    <w:multiLevelType w:val="hybridMultilevel"/>
    <w:tmpl w:val="79F428D8"/>
    <w:lvl w:ilvl="0" w:tplc="52D888A4">
      <w:numFmt w:val="bullet"/>
      <w:lvlText w:val="-"/>
      <w:lvlJc w:val="left"/>
      <w:pPr>
        <w:ind w:left="924" w:hanging="564"/>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7594"/>
    <w:multiLevelType w:val="hybridMultilevel"/>
    <w:tmpl w:val="5322AB8E"/>
    <w:lvl w:ilvl="0" w:tplc="F6E0A1A8">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17B33"/>
    <w:multiLevelType w:val="hybridMultilevel"/>
    <w:tmpl w:val="715C72BE"/>
    <w:lvl w:ilvl="0" w:tplc="4BE2A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869F7"/>
    <w:multiLevelType w:val="hybridMultilevel"/>
    <w:tmpl w:val="EECCC168"/>
    <w:lvl w:ilvl="0" w:tplc="4BE2A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4060D"/>
    <w:multiLevelType w:val="hybridMultilevel"/>
    <w:tmpl w:val="9E98A2F6"/>
    <w:lvl w:ilvl="0" w:tplc="B2D2B3F8">
      <w:start w:val="1"/>
      <w:numFmt w:val="decimal"/>
      <w:lvlText w:val="%1."/>
      <w:lvlJc w:val="left"/>
      <w:pPr>
        <w:ind w:left="720" w:hanging="360"/>
      </w:pPr>
    </w:lvl>
    <w:lvl w:ilvl="1" w:tplc="BF62A982" w:tentative="1">
      <w:start w:val="1"/>
      <w:numFmt w:val="lowerLetter"/>
      <w:lvlText w:val="%2."/>
      <w:lvlJc w:val="left"/>
      <w:pPr>
        <w:ind w:left="1440" w:hanging="360"/>
      </w:pPr>
    </w:lvl>
    <w:lvl w:ilvl="2" w:tplc="51C8E5F8" w:tentative="1">
      <w:start w:val="1"/>
      <w:numFmt w:val="lowerRoman"/>
      <w:lvlText w:val="%3."/>
      <w:lvlJc w:val="right"/>
      <w:pPr>
        <w:ind w:left="2160" w:hanging="180"/>
      </w:pPr>
    </w:lvl>
    <w:lvl w:ilvl="3" w:tplc="F0A0D244" w:tentative="1">
      <w:start w:val="1"/>
      <w:numFmt w:val="decimal"/>
      <w:lvlText w:val="%4."/>
      <w:lvlJc w:val="left"/>
      <w:pPr>
        <w:ind w:left="2880" w:hanging="360"/>
      </w:pPr>
    </w:lvl>
    <w:lvl w:ilvl="4" w:tplc="F50C87BE" w:tentative="1">
      <w:start w:val="1"/>
      <w:numFmt w:val="lowerLetter"/>
      <w:lvlText w:val="%5."/>
      <w:lvlJc w:val="left"/>
      <w:pPr>
        <w:ind w:left="3600" w:hanging="360"/>
      </w:pPr>
    </w:lvl>
    <w:lvl w:ilvl="5" w:tplc="E5B27040" w:tentative="1">
      <w:start w:val="1"/>
      <w:numFmt w:val="lowerRoman"/>
      <w:lvlText w:val="%6."/>
      <w:lvlJc w:val="right"/>
      <w:pPr>
        <w:ind w:left="4320" w:hanging="180"/>
      </w:pPr>
    </w:lvl>
    <w:lvl w:ilvl="6" w:tplc="AFB64A84" w:tentative="1">
      <w:start w:val="1"/>
      <w:numFmt w:val="decimal"/>
      <w:lvlText w:val="%7."/>
      <w:lvlJc w:val="left"/>
      <w:pPr>
        <w:ind w:left="5040" w:hanging="360"/>
      </w:pPr>
    </w:lvl>
    <w:lvl w:ilvl="7" w:tplc="2DC66F96" w:tentative="1">
      <w:start w:val="1"/>
      <w:numFmt w:val="lowerLetter"/>
      <w:lvlText w:val="%8."/>
      <w:lvlJc w:val="left"/>
      <w:pPr>
        <w:ind w:left="5760" w:hanging="360"/>
      </w:pPr>
    </w:lvl>
    <w:lvl w:ilvl="8" w:tplc="285A7F1A" w:tentative="1">
      <w:start w:val="1"/>
      <w:numFmt w:val="lowerRoman"/>
      <w:lvlText w:val="%9."/>
      <w:lvlJc w:val="right"/>
      <w:pPr>
        <w:ind w:left="6480" w:hanging="180"/>
      </w:pPr>
    </w:lvl>
  </w:abstractNum>
  <w:abstractNum w:abstractNumId="7" w15:restartNumberingAfterBreak="0">
    <w:nsid w:val="4C3439F0"/>
    <w:multiLevelType w:val="hybridMultilevel"/>
    <w:tmpl w:val="C62C3FCE"/>
    <w:lvl w:ilvl="0" w:tplc="B3288922">
      <w:start w:val="1"/>
      <w:numFmt w:val="bullet"/>
      <w:lvlText w:val="-"/>
      <w:lvlJc w:val="left"/>
      <w:pPr>
        <w:ind w:left="720" w:hanging="360"/>
      </w:pPr>
      <w:rPr>
        <w:rFonts w:ascii="Times New Roman" w:hAnsi="Times New Roman" w:cs="Times New Roman" w:hint="default"/>
      </w:rPr>
    </w:lvl>
    <w:lvl w:ilvl="1" w:tplc="6582B074" w:tentative="1">
      <w:start w:val="1"/>
      <w:numFmt w:val="bullet"/>
      <w:lvlText w:val="o"/>
      <w:lvlJc w:val="left"/>
      <w:pPr>
        <w:ind w:left="1440" w:hanging="360"/>
      </w:pPr>
      <w:rPr>
        <w:rFonts w:ascii="Courier New" w:hAnsi="Courier New" w:cs="Courier New" w:hint="default"/>
      </w:rPr>
    </w:lvl>
    <w:lvl w:ilvl="2" w:tplc="D3281CCC" w:tentative="1">
      <w:start w:val="1"/>
      <w:numFmt w:val="bullet"/>
      <w:lvlText w:val=""/>
      <w:lvlJc w:val="left"/>
      <w:pPr>
        <w:ind w:left="2160" w:hanging="360"/>
      </w:pPr>
      <w:rPr>
        <w:rFonts w:ascii="Wingdings" w:hAnsi="Wingdings" w:hint="default"/>
      </w:rPr>
    </w:lvl>
    <w:lvl w:ilvl="3" w:tplc="208ABAFC" w:tentative="1">
      <w:start w:val="1"/>
      <w:numFmt w:val="bullet"/>
      <w:lvlText w:val=""/>
      <w:lvlJc w:val="left"/>
      <w:pPr>
        <w:ind w:left="2880" w:hanging="360"/>
      </w:pPr>
      <w:rPr>
        <w:rFonts w:ascii="Symbol" w:hAnsi="Symbol" w:hint="default"/>
      </w:rPr>
    </w:lvl>
    <w:lvl w:ilvl="4" w:tplc="CB9A9122" w:tentative="1">
      <w:start w:val="1"/>
      <w:numFmt w:val="bullet"/>
      <w:lvlText w:val="o"/>
      <w:lvlJc w:val="left"/>
      <w:pPr>
        <w:ind w:left="3600" w:hanging="360"/>
      </w:pPr>
      <w:rPr>
        <w:rFonts w:ascii="Courier New" w:hAnsi="Courier New" w:cs="Courier New" w:hint="default"/>
      </w:rPr>
    </w:lvl>
    <w:lvl w:ilvl="5" w:tplc="4C4C739A" w:tentative="1">
      <w:start w:val="1"/>
      <w:numFmt w:val="bullet"/>
      <w:lvlText w:val=""/>
      <w:lvlJc w:val="left"/>
      <w:pPr>
        <w:ind w:left="4320" w:hanging="360"/>
      </w:pPr>
      <w:rPr>
        <w:rFonts w:ascii="Wingdings" w:hAnsi="Wingdings" w:hint="default"/>
      </w:rPr>
    </w:lvl>
    <w:lvl w:ilvl="6" w:tplc="53DED398" w:tentative="1">
      <w:start w:val="1"/>
      <w:numFmt w:val="bullet"/>
      <w:lvlText w:val=""/>
      <w:lvlJc w:val="left"/>
      <w:pPr>
        <w:ind w:left="5040" w:hanging="360"/>
      </w:pPr>
      <w:rPr>
        <w:rFonts w:ascii="Symbol" w:hAnsi="Symbol" w:hint="default"/>
      </w:rPr>
    </w:lvl>
    <w:lvl w:ilvl="7" w:tplc="F5241498" w:tentative="1">
      <w:start w:val="1"/>
      <w:numFmt w:val="bullet"/>
      <w:lvlText w:val="o"/>
      <w:lvlJc w:val="left"/>
      <w:pPr>
        <w:ind w:left="5760" w:hanging="360"/>
      </w:pPr>
      <w:rPr>
        <w:rFonts w:ascii="Courier New" w:hAnsi="Courier New" w:cs="Courier New" w:hint="default"/>
      </w:rPr>
    </w:lvl>
    <w:lvl w:ilvl="8" w:tplc="53289A98" w:tentative="1">
      <w:start w:val="1"/>
      <w:numFmt w:val="bullet"/>
      <w:lvlText w:val=""/>
      <w:lvlJc w:val="left"/>
      <w:pPr>
        <w:ind w:left="6480" w:hanging="360"/>
      </w:pPr>
      <w:rPr>
        <w:rFonts w:ascii="Wingdings" w:hAnsi="Wingdings" w:hint="default"/>
      </w:rPr>
    </w:lvl>
  </w:abstractNum>
  <w:abstractNum w:abstractNumId="8" w15:restartNumberingAfterBreak="0">
    <w:nsid w:val="5C031752"/>
    <w:multiLevelType w:val="hybridMultilevel"/>
    <w:tmpl w:val="B8D8EA84"/>
    <w:lvl w:ilvl="0" w:tplc="4BE2AB34">
      <w:start w:val="1"/>
      <w:numFmt w:val="bullet"/>
      <w:lvlText w:val=""/>
      <w:lvlJc w:val="left"/>
      <w:pPr>
        <w:ind w:left="720" w:hanging="360"/>
      </w:pPr>
      <w:rPr>
        <w:rFonts w:ascii="Symbol" w:hAnsi="Symbol" w:hint="default"/>
      </w:rPr>
    </w:lvl>
    <w:lvl w:ilvl="1" w:tplc="E70E8A0E" w:tentative="1">
      <w:start w:val="1"/>
      <w:numFmt w:val="bullet"/>
      <w:lvlText w:val="o"/>
      <w:lvlJc w:val="left"/>
      <w:pPr>
        <w:ind w:left="1440" w:hanging="360"/>
      </w:pPr>
      <w:rPr>
        <w:rFonts w:ascii="Courier New" w:hAnsi="Courier New" w:cs="Courier New" w:hint="default"/>
      </w:rPr>
    </w:lvl>
    <w:lvl w:ilvl="2" w:tplc="CF6AACEE" w:tentative="1">
      <w:start w:val="1"/>
      <w:numFmt w:val="bullet"/>
      <w:lvlText w:val=""/>
      <w:lvlJc w:val="left"/>
      <w:pPr>
        <w:ind w:left="2160" w:hanging="360"/>
      </w:pPr>
      <w:rPr>
        <w:rFonts w:ascii="Wingdings" w:hAnsi="Wingdings" w:hint="default"/>
      </w:rPr>
    </w:lvl>
    <w:lvl w:ilvl="3" w:tplc="91CE0092" w:tentative="1">
      <w:start w:val="1"/>
      <w:numFmt w:val="bullet"/>
      <w:lvlText w:val=""/>
      <w:lvlJc w:val="left"/>
      <w:pPr>
        <w:ind w:left="2880" w:hanging="360"/>
      </w:pPr>
      <w:rPr>
        <w:rFonts w:ascii="Symbol" w:hAnsi="Symbol" w:hint="default"/>
      </w:rPr>
    </w:lvl>
    <w:lvl w:ilvl="4" w:tplc="543029B0" w:tentative="1">
      <w:start w:val="1"/>
      <w:numFmt w:val="bullet"/>
      <w:lvlText w:val="o"/>
      <w:lvlJc w:val="left"/>
      <w:pPr>
        <w:ind w:left="3600" w:hanging="360"/>
      </w:pPr>
      <w:rPr>
        <w:rFonts w:ascii="Courier New" w:hAnsi="Courier New" w:cs="Courier New" w:hint="default"/>
      </w:rPr>
    </w:lvl>
    <w:lvl w:ilvl="5" w:tplc="911455DC" w:tentative="1">
      <w:start w:val="1"/>
      <w:numFmt w:val="bullet"/>
      <w:lvlText w:val=""/>
      <w:lvlJc w:val="left"/>
      <w:pPr>
        <w:ind w:left="4320" w:hanging="360"/>
      </w:pPr>
      <w:rPr>
        <w:rFonts w:ascii="Wingdings" w:hAnsi="Wingdings" w:hint="default"/>
      </w:rPr>
    </w:lvl>
    <w:lvl w:ilvl="6" w:tplc="472EFF92" w:tentative="1">
      <w:start w:val="1"/>
      <w:numFmt w:val="bullet"/>
      <w:lvlText w:val=""/>
      <w:lvlJc w:val="left"/>
      <w:pPr>
        <w:ind w:left="5040" w:hanging="360"/>
      </w:pPr>
      <w:rPr>
        <w:rFonts w:ascii="Symbol" w:hAnsi="Symbol" w:hint="default"/>
      </w:rPr>
    </w:lvl>
    <w:lvl w:ilvl="7" w:tplc="0CEC047A" w:tentative="1">
      <w:start w:val="1"/>
      <w:numFmt w:val="bullet"/>
      <w:lvlText w:val="o"/>
      <w:lvlJc w:val="left"/>
      <w:pPr>
        <w:ind w:left="5760" w:hanging="360"/>
      </w:pPr>
      <w:rPr>
        <w:rFonts w:ascii="Courier New" w:hAnsi="Courier New" w:cs="Courier New" w:hint="default"/>
      </w:rPr>
    </w:lvl>
    <w:lvl w:ilvl="8" w:tplc="2C24E2B8" w:tentative="1">
      <w:start w:val="1"/>
      <w:numFmt w:val="bullet"/>
      <w:lvlText w:val=""/>
      <w:lvlJc w:val="left"/>
      <w:pPr>
        <w:ind w:left="6480" w:hanging="360"/>
      </w:pPr>
      <w:rPr>
        <w:rFonts w:ascii="Wingdings" w:hAnsi="Wingdings" w:hint="default"/>
      </w:rPr>
    </w:lvl>
  </w:abstractNum>
  <w:abstractNum w:abstractNumId="9" w15:restartNumberingAfterBreak="0">
    <w:nsid w:val="71B50612"/>
    <w:multiLevelType w:val="hybridMultilevel"/>
    <w:tmpl w:val="396894AC"/>
    <w:lvl w:ilvl="0" w:tplc="F1A266B0">
      <w:start w:val="1"/>
      <w:numFmt w:val="bullet"/>
      <w:lvlText w:val="-"/>
      <w:lvlJc w:val="left"/>
      <w:pPr>
        <w:ind w:left="720" w:hanging="360"/>
      </w:pPr>
      <w:rPr>
        <w:rFonts w:ascii="Times New Roman" w:hAnsi="Times New Roman" w:cs="Times New Roman" w:hint="default"/>
      </w:rPr>
    </w:lvl>
    <w:lvl w:ilvl="1" w:tplc="E70E8A0E" w:tentative="1">
      <w:start w:val="1"/>
      <w:numFmt w:val="bullet"/>
      <w:lvlText w:val="o"/>
      <w:lvlJc w:val="left"/>
      <w:pPr>
        <w:ind w:left="1440" w:hanging="360"/>
      </w:pPr>
      <w:rPr>
        <w:rFonts w:ascii="Courier New" w:hAnsi="Courier New" w:cs="Courier New" w:hint="default"/>
      </w:rPr>
    </w:lvl>
    <w:lvl w:ilvl="2" w:tplc="CF6AACEE" w:tentative="1">
      <w:start w:val="1"/>
      <w:numFmt w:val="bullet"/>
      <w:lvlText w:val=""/>
      <w:lvlJc w:val="left"/>
      <w:pPr>
        <w:ind w:left="2160" w:hanging="360"/>
      </w:pPr>
      <w:rPr>
        <w:rFonts w:ascii="Wingdings" w:hAnsi="Wingdings" w:hint="default"/>
      </w:rPr>
    </w:lvl>
    <w:lvl w:ilvl="3" w:tplc="91CE0092" w:tentative="1">
      <w:start w:val="1"/>
      <w:numFmt w:val="bullet"/>
      <w:lvlText w:val=""/>
      <w:lvlJc w:val="left"/>
      <w:pPr>
        <w:ind w:left="2880" w:hanging="360"/>
      </w:pPr>
      <w:rPr>
        <w:rFonts w:ascii="Symbol" w:hAnsi="Symbol" w:hint="default"/>
      </w:rPr>
    </w:lvl>
    <w:lvl w:ilvl="4" w:tplc="543029B0" w:tentative="1">
      <w:start w:val="1"/>
      <w:numFmt w:val="bullet"/>
      <w:lvlText w:val="o"/>
      <w:lvlJc w:val="left"/>
      <w:pPr>
        <w:ind w:left="3600" w:hanging="360"/>
      </w:pPr>
      <w:rPr>
        <w:rFonts w:ascii="Courier New" w:hAnsi="Courier New" w:cs="Courier New" w:hint="default"/>
      </w:rPr>
    </w:lvl>
    <w:lvl w:ilvl="5" w:tplc="911455DC" w:tentative="1">
      <w:start w:val="1"/>
      <w:numFmt w:val="bullet"/>
      <w:lvlText w:val=""/>
      <w:lvlJc w:val="left"/>
      <w:pPr>
        <w:ind w:left="4320" w:hanging="360"/>
      </w:pPr>
      <w:rPr>
        <w:rFonts w:ascii="Wingdings" w:hAnsi="Wingdings" w:hint="default"/>
      </w:rPr>
    </w:lvl>
    <w:lvl w:ilvl="6" w:tplc="472EFF92" w:tentative="1">
      <w:start w:val="1"/>
      <w:numFmt w:val="bullet"/>
      <w:lvlText w:val=""/>
      <w:lvlJc w:val="left"/>
      <w:pPr>
        <w:ind w:left="5040" w:hanging="360"/>
      </w:pPr>
      <w:rPr>
        <w:rFonts w:ascii="Symbol" w:hAnsi="Symbol" w:hint="default"/>
      </w:rPr>
    </w:lvl>
    <w:lvl w:ilvl="7" w:tplc="0CEC047A" w:tentative="1">
      <w:start w:val="1"/>
      <w:numFmt w:val="bullet"/>
      <w:lvlText w:val="o"/>
      <w:lvlJc w:val="left"/>
      <w:pPr>
        <w:ind w:left="5760" w:hanging="360"/>
      </w:pPr>
      <w:rPr>
        <w:rFonts w:ascii="Courier New" w:hAnsi="Courier New" w:cs="Courier New" w:hint="default"/>
      </w:rPr>
    </w:lvl>
    <w:lvl w:ilvl="8" w:tplc="2C24E2B8"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F"/>
    <w:rsid w:val="00047580"/>
    <w:rsid w:val="000E5BB8"/>
    <w:rsid w:val="00117E35"/>
    <w:rsid w:val="001322B7"/>
    <w:rsid w:val="0013683C"/>
    <w:rsid w:val="00156794"/>
    <w:rsid w:val="001C17C2"/>
    <w:rsid w:val="00205561"/>
    <w:rsid w:val="00250379"/>
    <w:rsid w:val="002863ED"/>
    <w:rsid w:val="00287A62"/>
    <w:rsid w:val="00316A6A"/>
    <w:rsid w:val="00317EEF"/>
    <w:rsid w:val="00331A6D"/>
    <w:rsid w:val="00345DBA"/>
    <w:rsid w:val="00363E3B"/>
    <w:rsid w:val="004043C1"/>
    <w:rsid w:val="00411AB8"/>
    <w:rsid w:val="00420E49"/>
    <w:rsid w:val="00432619"/>
    <w:rsid w:val="004460C1"/>
    <w:rsid w:val="00450AD2"/>
    <w:rsid w:val="004A4EB1"/>
    <w:rsid w:val="00596A3E"/>
    <w:rsid w:val="005B467B"/>
    <w:rsid w:val="005F46BA"/>
    <w:rsid w:val="0061608D"/>
    <w:rsid w:val="00644DD7"/>
    <w:rsid w:val="006C3F50"/>
    <w:rsid w:val="0071253B"/>
    <w:rsid w:val="0075087B"/>
    <w:rsid w:val="007B5033"/>
    <w:rsid w:val="007E5FE8"/>
    <w:rsid w:val="008A5E19"/>
    <w:rsid w:val="008B4A9B"/>
    <w:rsid w:val="00984B11"/>
    <w:rsid w:val="0098609D"/>
    <w:rsid w:val="00A41DD0"/>
    <w:rsid w:val="00A671CC"/>
    <w:rsid w:val="00A9762E"/>
    <w:rsid w:val="00AA3A70"/>
    <w:rsid w:val="00AC2FE9"/>
    <w:rsid w:val="00B53EF9"/>
    <w:rsid w:val="00BB2B2E"/>
    <w:rsid w:val="00BD5505"/>
    <w:rsid w:val="00BE74A5"/>
    <w:rsid w:val="00C03099"/>
    <w:rsid w:val="00C42AA4"/>
    <w:rsid w:val="00C50E05"/>
    <w:rsid w:val="00D0142D"/>
    <w:rsid w:val="00D32486"/>
    <w:rsid w:val="00D75B34"/>
    <w:rsid w:val="00D9361E"/>
    <w:rsid w:val="00D975CF"/>
    <w:rsid w:val="00E006A9"/>
    <w:rsid w:val="00E01A61"/>
    <w:rsid w:val="00E23B26"/>
    <w:rsid w:val="00E4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77BB"/>
  <w15:docId w15:val="{C3F8896B-DE34-46A2-A9F3-215BF837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Arial" w:hAnsi="Georg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pPr>
      <w:spacing w:after="160" w:line="259" w:lineRule="auto"/>
    </w:pPr>
    <w:rPr>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wCTableFigures">
    <w:name w:val="PwC Table Figures"/>
    <w:basedOn w:val="TableNormal"/>
    <w:uiPriority w:val="99"/>
    <w:qFormat/>
    <w:rsid w:val="00DF4955"/>
    <w:rPr>
      <w:rFonts w:ascii="Arial" w:hAnsi="Arial"/>
      <w:lang w:val="en-GB"/>
    </w:rPr>
    <w:tblPr>
      <w:tblBorders>
        <w:bottom w:val="single" w:sz="4" w:space="0" w:color="DC6900"/>
        <w:insideH w:val="dotted" w:sz="4" w:space="0" w:color="DC6900"/>
      </w:tblBorders>
      <w:tblCellMar>
        <w:top w:w="57" w:type="dxa"/>
      </w:tblCellMar>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paragraph" w:styleId="Header">
    <w:name w:val="header"/>
    <w:basedOn w:val="Normal"/>
    <w:link w:val="HeaderChar"/>
    <w:unhideWhenUsed/>
    <w:rsid w:val="00DF4955"/>
    <w:pPr>
      <w:tabs>
        <w:tab w:val="center" w:pos="4536"/>
        <w:tab w:val="right" w:pos="9072"/>
      </w:tabs>
      <w:spacing w:after="0" w:line="240" w:lineRule="auto"/>
    </w:pPr>
  </w:style>
  <w:style w:type="character" w:customStyle="1" w:styleId="HeaderChar">
    <w:name w:val="Header Char"/>
    <w:basedOn w:val="DefaultParagraphFont"/>
    <w:link w:val="Header"/>
    <w:rsid w:val="00DF4955"/>
  </w:style>
  <w:style w:type="paragraph" w:styleId="Footer">
    <w:name w:val="footer"/>
    <w:basedOn w:val="Normal"/>
    <w:link w:val="FooterChar"/>
    <w:uiPriority w:val="99"/>
    <w:unhideWhenUsed/>
    <w:rsid w:val="00DF49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955"/>
  </w:style>
  <w:style w:type="table" w:customStyle="1" w:styleId="Zwykatabela21">
    <w:name w:val="Zwykła tabela 21"/>
    <w:basedOn w:val="TableNormal"/>
    <w:uiPriority w:val="42"/>
    <w:rsid w:val="00DF495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352778"/>
    <w:pPr>
      <w:ind w:left="720"/>
      <w:contextualSpacing/>
    </w:pPr>
  </w:style>
  <w:style w:type="paragraph" w:styleId="FootnoteText">
    <w:name w:val="footnote text"/>
    <w:basedOn w:val="Normal"/>
    <w:link w:val="FootnoteTextChar"/>
    <w:uiPriority w:val="99"/>
    <w:unhideWhenUsed/>
    <w:rsid w:val="00EB08E7"/>
    <w:pPr>
      <w:spacing w:after="0" w:line="240" w:lineRule="auto"/>
    </w:pPr>
    <w:rPr>
      <w:szCs w:val="20"/>
    </w:rPr>
  </w:style>
  <w:style w:type="character" w:customStyle="1" w:styleId="FootnoteTextChar">
    <w:name w:val="Footnote Text Char"/>
    <w:link w:val="FootnoteText"/>
    <w:uiPriority w:val="99"/>
    <w:rsid w:val="00EB08E7"/>
    <w:rPr>
      <w:szCs w:val="20"/>
    </w:rPr>
  </w:style>
  <w:style w:type="character" w:styleId="FootnoteReference">
    <w:name w:val="footnote reference"/>
    <w:uiPriority w:val="99"/>
    <w:semiHidden/>
    <w:unhideWhenUsed/>
    <w:rsid w:val="00EB08E7"/>
    <w:rPr>
      <w:vertAlign w:val="superscript"/>
    </w:rPr>
  </w:style>
  <w:style w:type="character" w:styleId="CommentReference">
    <w:name w:val="annotation reference"/>
    <w:uiPriority w:val="99"/>
    <w:semiHidden/>
    <w:unhideWhenUsed/>
    <w:rsid w:val="009840A6"/>
    <w:rPr>
      <w:sz w:val="16"/>
      <w:szCs w:val="16"/>
    </w:rPr>
  </w:style>
  <w:style w:type="paragraph" w:styleId="CommentText">
    <w:name w:val="annotation text"/>
    <w:basedOn w:val="Normal"/>
    <w:link w:val="CommentTextChar"/>
    <w:uiPriority w:val="99"/>
    <w:semiHidden/>
    <w:unhideWhenUsed/>
    <w:rsid w:val="009840A6"/>
    <w:pPr>
      <w:spacing w:line="240" w:lineRule="auto"/>
    </w:pPr>
    <w:rPr>
      <w:szCs w:val="20"/>
    </w:rPr>
  </w:style>
  <w:style w:type="character" w:customStyle="1" w:styleId="CommentTextChar">
    <w:name w:val="Comment Text Char"/>
    <w:link w:val="CommentText"/>
    <w:uiPriority w:val="99"/>
    <w:semiHidden/>
    <w:rsid w:val="009840A6"/>
    <w:rPr>
      <w:szCs w:val="20"/>
    </w:rPr>
  </w:style>
  <w:style w:type="paragraph" w:styleId="CommentSubject">
    <w:name w:val="annotation subject"/>
    <w:basedOn w:val="CommentText"/>
    <w:next w:val="CommentText"/>
    <w:link w:val="CommentSubjectChar"/>
    <w:uiPriority w:val="99"/>
    <w:semiHidden/>
    <w:unhideWhenUsed/>
    <w:rsid w:val="009840A6"/>
    <w:rPr>
      <w:b/>
      <w:bCs/>
    </w:rPr>
  </w:style>
  <w:style w:type="character" w:customStyle="1" w:styleId="CommentSubjectChar">
    <w:name w:val="Comment Subject Char"/>
    <w:link w:val="CommentSubject"/>
    <w:uiPriority w:val="99"/>
    <w:semiHidden/>
    <w:rsid w:val="009840A6"/>
    <w:rPr>
      <w:b/>
      <w:bCs/>
      <w:szCs w:val="20"/>
    </w:rPr>
  </w:style>
  <w:style w:type="paragraph" w:styleId="BalloonText">
    <w:name w:val="Balloon Text"/>
    <w:basedOn w:val="Normal"/>
    <w:link w:val="BalloonTextChar"/>
    <w:uiPriority w:val="99"/>
    <w:semiHidden/>
    <w:unhideWhenUsed/>
    <w:rsid w:val="0098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0A6"/>
    <w:rPr>
      <w:rFonts w:ascii="Tahoma" w:hAnsi="Tahoma" w:cs="Tahoma"/>
      <w:sz w:val="16"/>
      <w:szCs w:val="16"/>
    </w:rPr>
  </w:style>
  <w:style w:type="paragraph" w:styleId="TOC1">
    <w:name w:val="toc 1"/>
    <w:basedOn w:val="Normal"/>
    <w:next w:val="Normal"/>
    <w:autoRedefine/>
    <w:uiPriority w:val="39"/>
    <w:unhideWhenUsed/>
    <w:rsid w:val="00226871"/>
    <w:pPr>
      <w:tabs>
        <w:tab w:val="left" w:pos="0"/>
        <w:tab w:val="right" w:leader="dot" w:pos="8789"/>
      </w:tabs>
      <w:spacing w:before="120" w:after="120" w:line="240" w:lineRule="auto"/>
      <w:ind w:right="708"/>
      <w:jc w:val="both"/>
    </w:pPr>
    <w:rPr>
      <w:rFonts w:ascii="Verdana" w:eastAsia="Times New Roman" w:hAnsi="Verdana"/>
      <w:b/>
      <w:noProof/>
      <w:sz w:val="22"/>
      <w:lang w:val="pl-PL"/>
    </w:rPr>
  </w:style>
  <w:style w:type="paragraph" w:styleId="TOC2">
    <w:name w:val="toc 2"/>
    <w:basedOn w:val="Normal"/>
    <w:next w:val="Normal"/>
    <w:autoRedefine/>
    <w:uiPriority w:val="39"/>
    <w:semiHidden/>
    <w:unhideWhenUsed/>
    <w:rsid w:val="00226871"/>
    <w:pPr>
      <w:tabs>
        <w:tab w:val="left" w:pos="720"/>
        <w:tab w:val="right" w:leader="dot" w:pos="8778"/>
      </w:tabs>
      <w:spacing w:after="0" w:line="240" w:lineRule="auto"/>
      <w:ind w:left="221" w:right="708"/>
    </w:pPr>
    <w:rPr>
      <w:rFonts w:ascii="Times New Roman" w:eastAsia="Times New Roman" w:hAnsi="Times New Roman"/>
      <w:noProof/>
      <w:sz w:val="24"/>
      <w:szCs w:val="24"/>
      <w:lang w:val="pl-PL"/>
    </w:rPr>
  </w:style>
  <w:style w:type="paragraph" w:styleId="BodyText">
    <w:name w:val="Body Text"/>
    <w:basedOn w:val="Normal"/>
    <w:link w:val="BodyTextChar"/>
    <w:uiPriority w:val="99"/>
    <w:unhideWhenUsed/>
    <w:rsid w:val="007A5762"/>
    <w:pPr>
      <w:spacing w:after="120" w:line="267" w:lineRule="auto"/>
      <w:ind w:left="10" w:hanging="10"/>
      <w:jc w:val="both"/>
    </w:pPr>
    <w:rPr>
      <w:rFonts w:ascii="Times New Roman" w:eastAsia="Times New Roman" w:hAnsi="Times New Roman"/>
      <w:color w:val="000000"/>
      <w:sz w:val="24"/>
      <w:lang w:val="pl-PL" w:eastAsia="pl-PL"/>
    </w:rPr>
  </w:style>
  <w:style w:type="character" w:customStyle="1" w:styleId="BodyTextChar">
    <w:name w:val="Body Text Char"/>
    <w:basedOn w:val="DefaultParagraphFont"/>
    <w:link w:val="BodyText"/>
    <w:uiPriority w:val="99"/>
    <w:rsid w:val="007A5762"/>
    <w:rPr>
      <w:rFonts w:ascii="Times New Roman" w:eastAsia="Times New Roman" w:hAnsi="Times New Roman"/>
      <w:color w:val="000000"/>
      <w:sz w:val="24"/>
      <w:szCs w:val="22"/>
    </w:rPr>
  </w:style>
  <w:style w:type="paragraph" w:customStyle="1" w:styleId="Deloitteaddress">
    <w:name w:val="Deloitte address"/>
    <w:basedOn w:val="Normal"/>
    <w:qFormat/>
    <w:rsid w:val="00047580"/>
    <w:pPr>
      <w:spacing w:after="0" w:line="170" w:lineRule="atLeast"/>
    </w:pPr>
    <w:rPr>
      <w:rFonts w:ascii="Verdana" w:eastAsia="Verdana" w:hAnsi="Verdana"/>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0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5000237272</EngagementID>
  <LogicalEMSServerID>839239884721417863</LogicalEMSServerID>
  <WorkingPaperID>3251903495800000243</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AFFB-5114-4B12-99B2-9B7E6D2F8185}">
  <ds:schemaRefs>
    <ds:schemaRef ds:uri="http://schemas.microsoft.com/DAEMSEngagementItemInfoXML"/>
  </ds:schemaRefs>
</ds:datastoreItem>
</file>

<file path=customXml/itemProps2.xml><?xml version="1.0" encoding="utf-8"?>
<ds:datastoreItem xmlns:ds="http://schemas.openxmlformats.org/officeDocument/2006/customXml" ds:itemID="{2E7340EE-4C4F-41E8-8365-46375C23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3436</Words>
  <Characters>20621</Characters>
  <Application>Microsoft Office Word</Application>
  <DocSecurity>0</DocSecurity>
  <Lines>171</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PricewaterhouseCoopers</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Zielinska</dc:creator>
  <cp:lastModifiedBy>Cieslak, Joanna</cp:lastModifiedBy>
  <cp:revision>4</cp:revision>
  <cp:lastPrinted>2017-12-08T12:26:00Z</cp:lastPrinted>
  <dcterms:created xsi:type="dcterms:W3CDTF">2020-03-06T14:01:00Z</dcterms:created>
  <dcterms:modified xsi:type="dcterms:W3CDTF">2020-03-31T07:17:00Z</dcterms:modified>
</cp:coreProperties>
</file>